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표 구조 시험 — 값분할</w:t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값분할 (한 값을 여러 칸에 쪼갰다 → 정규식이 안 맞는다)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지역</w:t>
            </w:r>
          </w:p>
        </w:tc>
        <w:tc>
          <w:tcPr>
            <w:tcW w:type="dxa" w:w="2880"/>
          </w:tcPr>
          <w:p>
            <w:r>
              <w:t>국번</w:t>
            </w:r>
          </w:p>
        </w:tc>
        <w:tc>
          <w:tcPr>
            <w:tcW w:type="dxa" w:w="2880"/>
          </w:tcPr>
          <w:p>
            <w:r>
              <w:t>번호</w:t>
            </w:r>
          </w:p>
        </w:tc>
      </w:tr>
      <w:tr>
        <w:tc>
          <w:tcPr>
            <w:tcW w:type="dxa" w:w="2880"/>
          </w:tcPr>
          <w:p>
            <w:r>
              <w:t>010</w:t>
            </w:r>
          </w:p>
        </w:tc>
        <w:tc>
          <w:tcPr>
            <w:tcW w:type="dxa" w:w="2880"/>
          </w:tcPr>
          <w:p>
            <w:r>
              <w:t>5555</w:t>
            </w:r>
          </w:p>
        </w:tc>
        <w:tc>
          <w:tcPr>
            <w:tcW w:type="dxa" w:w="2880"/>
          </w:tcPr>
          <w:p>
            <w:r>
              <w:t>6666</w:t>
            </w:r>
          </w:p>
        </w:tc>
      </w:tr>
      <w:tr>
        <w:tc>
          <w:tcPr>
            <w:tcW w:type="dxa" w:w="2880"/>
          </w:tcPr>
          <w:p>
            <w:r>
              <w:t>생년월일</w:t>
            </w:r>
          </w:p>
        </w:tc>
        <w:tc>
          <w:tcPr>
            <w:tcW w:type="dxa" w:w="2880"/>
          </w:tcPr>
          <w:p>
            <w:r>
              <w:t>뒷자리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880315</w:t>
            </w:r>
          </w:p>
        </w:tc>
        <w:tc>
          <w:tcPr>
            <w:tcW w:type="dxa" w:w="2880"/>
          </w:tcPr>
          <w:p>
            <w:r>
              <w:t>2468024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시</w:t>
            </w:r>
          </w:p>
        </w:tc>
        <w:tc>
          <w:tcPr>
            <w:tcW w:type="dxa" w:w="2880"/>
          </w:tcPr>
          <w:p>
            <w:r>
              <w:t>구</w:t>
            </w:r>
          </w:p>
        </w:tc>
        <w:tc>
          <w:tcPr>
            <w:tcW w:type="dxa" w:w="2880"/>
          </w:tcPr>
          <w:p>
            <w:r>
              <w:t>상세</w:t>
            </w:r>
          </w:p>
        </w:tc>
      </w:tr>
      <w:tr>
        <w:tc>
          <w:tcPr>
            <w:tcW w:type="dxa" w:w="2880"/>
          </w:tcPr>
          <w:p>
            <w:r>
              <w:t>부산광역시</w:t>
            </w:r>
          </w:p>
        </w:tc>
        <w:tc>
          <w:tcPr>
            <w:tcW w:type="dxa" w:w="2880"/>
          </w:tcPr>
          <w:p>
            <w:r>
              <w:t>해운대구</w:t>
            </w:r>
          </w:p>
        </w:tc>
        <w:tc>
          <w:tcPr>
            <w:tcW w:type="dxa" w:w="2880"/>
          </w:tcPr>
          <w:p>
            <w:r>
              <w:t>센텀중앙로 77</w:t>
            </w:r>
          </w:p>
        </w:tc>
      </w:tr>
    </w:tbl>
    <w:p>
      <w:r>
        <w:t>표 바로 뒤 문단 — 담당 홍길동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꼬리말 — 문의 010-1234-5678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머리말 — 작성자 홍길동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홍길동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