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11"/>
        <w:keepNext w:val="true"/>
        <w:keepLines/>
        <w:spacing w:before="12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Договор на выполнение работ № NUM_DEAL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Екатеринбург</w:t>
      </w:r>
      <w:r>
        <w:rPr>
          <w:sz w:val="22"/>
          <w:szCs w:val="22"/>
          <w:lang w:val="en-US"/>
        </w:rPr>
        <w:t xml:space="preserve">                                                </w:t>
        <w:tab/>
        <w:tab/>
        <w:tab/>
        <w:t xml:space="preserve">                                 «DAY» MONTH YEAR </w:t>
      </w:r>
      <w:r>
        <w:rPr>
          <w:sz w:val="22"/>
          <w:szCs w:val="22"/>
        </w:rPr>
        <w:t>г</w:t>
      </w:r>
      <w:r>
        <w:rPr>
          <w:sz w:val="22"/>
          <w:szCs w:val="22"/>
          <w:lang w:val="en-US"/>
        </w:rPr>
        <w:t>.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ООО «Промо Эксперт», именуемое в дальнейшем «Исполнитель», в лице Генерального директора Летова Е.И., действующего на основании Устава, с одной стороны, и ООО «COMPANY» в лице </w:t>
      </w:r>
      <w:r>
        <w:rPr>
          <w:rStyle w:val="WW"/>
          <w:b w:val="false"/>
          <w:sz w:val="22"/>
          <w:szCs w:val="22"/>
        </w:rPr>
        <w:t>Генерального директора DIR_NAME, действующего на основании Устава</w:t>
      </w:r>
      <w:r>
        <w:rPr>
          <w:sz w:val="22"/>
          <w:szCs w:val="22"/>
        </w:rPr>
        <w:t>, с другой стороны, далее совместно именуемые «Стороны», по отдельности именуемые «Сторона», пришли к согласию и заключили настоящий договор (далее — Договор) о нижеследующем:</w:t>
      </w:r>
    </w:p>
    <w:p>
      <w:pPr>
        <w:pStyle w:val="211"/>
        <w:numPr>
          <w:ilvl w:val="0"/>
          <w:numId w:val="1"/>
        </w:numPr>
        <w:tabs>
          <w:tab w:val="clear" w:pos="708"/>
          <w:tab w:val="left" w:pos="709" w:leader="none"/>
        </w:tabs>
        <w:spacing w:before="240" w:after="120"/>
        <w:ind w:left="0" w:hanging="0"/>
        <w:jc w:val="both"/>
        <w:rPr>
          <w:rFonts w:ascii="Times New Roman" w:hAnsi="Times New Roman" w:cs="Times New Roman"/>
          <w:b w:val="false"/>
          <w:b w:val="false"/>
          <w:color w:val="000000"/>
          <w:lang w:eastAsia="ru-RU"/>
        </w:rPr>
      </w:pPr>
      <w:r>
        <w:rPr>
          <w:rFonts w:cs="Times New Roman" w:ascii="Times New Roman" w:hAnsi="Times New Roman"/>
          <w:b w:val="false"/>
          <w:color w:val="000000"/>
          <w:lang w:eastAsia="ru-RU"/>
        </w:rPr>
        <w:t>Предмет Договора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>
          <w:bCs/>
          <w:iCs/>
          <w:sz w:val="22"/>
          <w:szCs w:val="22"/>
        </w:rPr>
      </w:pPr>
      <w:r>
        <w:rPr>
          <w:sz w:val="22"/>
          <w:szCs w:val="22"/>
        </w:rPr>
        <w:t xml:space="preserve">Исполнитель обязуется выполнить работы по аудиту сайта, расположенного по адресу </w:t>
      </w:r>
      <w:r>
        <w:rPr>
          <w:color w:val="222222"/>
          <w:sz w:val="22"/>
          <w:szCs w:val="22"/>
        </w:rPr>
        <w:t>SITE </w:t>
      </w:r>
      <w:r>
        <w:rPr>
          <w:bCs/>
          <w:iCs/>
          <w:sz w:val="22"/>
          <w:szCs w:val="22"/>
        </w:rPr>
        <w:t xml:space="preserve">(далее – Сайта) в порядке и на условиях, установленных Договором, </w:t>
      </w:r>
      <w:r>
        <w:rPr>
          <w:sz w:val="22"/>
          <w:szCs w:val="22"/>
        </w:rPr>
        <w:t>Заказчик обязуется принять и оплатить эти работы в порядке и на условиях, установленных Договором.</w:t>
      </w:r>
    </w:p>
    <w:p>
      <w:pPr>
        <w:pStyle w:val="Style40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jc w:val="both"/>
        <w:rPr/>
      </w:pPr>
      <w:r>
        <w:rPr>
          <w:bCs/>
          <w:iCs/>
          <w:sz w:val="22"/>
          <w:szCs w:val="22"/>
        </w:rPr>
        <w:t>В соответствии с условиями Договора Исполнитель выполняет следующие работы: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текущего положения Сайта Заказчика в поисковых системах: анализ индексации Сайта, анализ региональной принадлежности, анализ внутренней оптимизации.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настроек индексации Сайта поисковыми системами: проверка настроек сервисов Яндекс Вебмастер и Google Search Console, проверка настроек главного зеркала, анализ отображения в результатах поиска быстрых ссылок и регистра имени Сайта. Анализ служебных файлов robots.txt и sitemap.xml.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Выявление ошибок, затрудняющих сканирование Сайта поисковыми роботами: проверка на аффилированность, поиск и диагностика полных дубликатов Сайта, поиск и диагностика частичного дублирования контента страниц Сайта, проверка возможности индексации ссылок Сайта поисковыми системами.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технических настроек Сайта: работоспособности, формирования URL страниц, кодов ответа, времени отклика сервера, валидности верстки, микроразметки, оптимизации Сайта под мобильные устройства.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отработки несуществующих страниц Сайта: проверка корректности ответа сервера несуществующих страниц, проверка корректности отображения несуществующих страниц, составление технического задания по корректировке кода ответа и отображения несуществующих страниц.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наличия текстовых заголовков на страницах Сайта и корректности их использования, выявление некорректного использования текстовых заголовков на страницах, составление технического задания по корректировке текстовых заголовков на страницах.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навигации по Сайту: меню, поиск по Сайту, цепочки навигации. Анализ корректности настройки навигационного элемента «хлебные крошки», составление технического задания по корректировке работы «хлебных крошек».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Анализ коммерческих факторов Сайта, форм обратной связи, наличия и способа представления контактной информации.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Работа с системой аналитики Яндекс Метрика: проверка наличия, проверка корректности настройки, проверка отслеживаемых целевых действий, рекомендации по настройке отслеживаемых целевых действий (при необходимости).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Работа с системой аналитики Google Analytics: проверка наличия, проверка корректности настройки, проверка отслеживаемых целевых действий, рекомендации по настройке отслеживаемых целевых действий (при необходимости).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полноты контента и удобства использования различных частей Сайта: на главной странице, в шапке, в каталоге, на карточках товара, страницах услуг.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Формулирование рекомендаций для повышения позиций Сайта в поисковых системах.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Составление технического задания на необходимые правки.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На основании работ, указанных в п.1.2 Исполнитель формирует документ «Аудит и техническое задание».</w:t>
      </w:r>
    </w:p>
    <w:p>
      <w:pPr>
        <w:pStyle w:val="Style40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jc w:val="both"/>
        <w:rPr/>
      </w:pPr>
      <w:r>
        <w:rPr>
          <w:sz w:val="22"/>
          <w:szCs w:val="22"/>
        </w:rPr>
        <w:t>Аудит Сайта проводится в течение 10 (Десяти) рабочих дней с момента поступления денежных средств на расчетный счет Исполнителя. Указанные сроки могут быть изменены в случаях и в порядке, установленных Договором.</w:t>
      </w:r>
    </w:p>
    <w:p>
      <w:pPr>
        <w:pStyle w:val="Style40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jc w:val="both"/>
        <w:rPr/>
      </w:pPr>
      <w:r>
        <w:rPr>
          <w:sz w:val="22"/>
          <w:szCs w:val="22"/>
        </w:rPr>
        <w:t>Прочие работы/услуги предоставляются исключительно с согласия Заказчика на основании дополнительных соглашений к Договору и оплачиваются Заказчиком дополнительно.</w:t>
      </w:r>
    </w:p>
    <w:p>
      <w:pPr>
        <w:pStyle w:val="Style40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jc w:val="both"/>
        <w:rPr>
          <w:sz w:val="26"/>
          <w:szCs w:val="26"/>
        </w:rPr>
      </w:pPr>
      <w:r>
        <w:rPr>
          <w:color w:val="000000"/>
          <w:sz w:val="26"/>
          <w:szCs w:val="26"/>
          <w:lang w:eastAsia="ru-RU"/>
        </w:rPr>
        <w:t>Обязанности сторон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 обязуется: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/>
      </w:pPr>
      <w:r>
        <w:rPr>
          <w:sz w:val="22"/>
          <w:szCs w:val="22"/>
        </w:rPr>
        <w:t>Выполнить качественно и в срок полный перечень работ в соответствии с условиями Договора.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Получив предоплату начать не позднее, чем через 1 рабочий день выполнение работ, указанных в п.1.2 Договора.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Представить аудит Сайта в виде электронного документа на адрес Заказчика, указанный в п.2.2.4 Договора</w:t>
      </w:r>
      <w:bookmarkStart w:id="0" w:name="_Hlk85011169"/>
      <w:r>
        <w:rPr>
          <w:sz w:val="22"/>
          <w:szCs w:val="22"/>
        </w:rPr>
        <w:t>.</w:t>
      </w:r>
      <w:bookmarkEnd w:id="0"/>
    </w:p>
    <w:p>
      <w:pPr>
        <w:pStyle w:val="Normal"/>
        <w:numPr>
          <w:ilvl w:val="2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/>
      </w:pPr>
      <w:r>
        <w:rPr>
          <w:sz w:val="22"/>
          <w:szCs w:val="22"/>
        </w:rPr>
        <w:t>В течение 2 (двух) недель после окончания проведенных работ, Исполнитель должен предоставить заказчику итоги аудита Сайта в форме устного доклада (презентации) посредством телефонной связи, а также ответить на вопросы Заказчика, возникшие в ходе доклада, касающиеся аудита сайта.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/>
      </w:pPr>
      <w:r>
        <w:rPr>
          <w:sz w:val="22"/>
          <w:szCs w:val="22"/>
        </w:rPr>
        <w:t>Обеспечить соблюдение конфиденциальности полученной от Заказчика информации, использовать ее только в целях, предусмотренных Договором.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 xml:space="preserve">   </w:t>
      </w:r>
      <w:r>
        <w:rPr>
          <w:szCs w:val="22"/>
        </w:rPr>
        <w:t>Заказчик обязуется: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Производить оплату своевременно, согласно п.п. 3.1-3.2 Договора.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 xml:space="preserve">Предоставить Исполнителю доступ к системе администрирования Сайта, доступ по протоколу FTP, доступы на агентский аккаунт agency@promoexpert.pro к Яндекс Метрике и Яндекс Вебмастеру, на promoexpert@gmail.com к </w:t>
      </w:r>
      <w:r>
        <w:rPr>
          <w:szCs w:val="22"/>
          <w:lang w:val="en-US"/>
        </w:rPr>
        <w:t>Google</w:t>
      </w:r>
      <w:r>
        <w:rPr>
          <w:szCs w:val="22"/>
        </w:rPr>
        <w:t xml:space="preserve"> Search Console и </w:t>
      </w:r>
      <w:r>
        <w:rPr>
          <w:szCs w:val="22"/>
          <w:lang w:val="en-US"/>
        </w:rPr>
        <w:t>Google</w:t>
      </w:r>
      <w:r>
        <w:rPr>
          <w:szCs w:val="22"/>
        </w:rPr>
        <w:t xml:space="preserve"> Analytics не позднее следующего рабочего дня после подписания Договора.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Оказывать Исполнителю любое необходимое содействие в выполнении работ, в частности, предоставлять необходимую информацию, оперативно рассматривать и разрешать возникающие вопросы, подписывать представленные Исполнителем документы.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Назначить лицо, уполномоченное на согласование документов. Все вопросы, возникающие в ходе исполнения Договора, от имени Заказчика уполномочен решать: CONTACT, телефон: PHONE, электронная почта: EMAIL.</w:t>
      </w:r>
    </w:p>
    <w:p>
      <w:pPr>
        <w:pStyle w:val="211"/>
        <w:numPr>
          <w:ilvl w:val="0"/>
          <w:numId w:val="1"/>
        </w:numPr>
        <w:tabs>
          <w:tab w:val="clear" w:pos="708"/>
          <w:tab w:val="left" w:pos="709" w:leader="none"/>
        </w:tabs>
        <w:spacing w:before="240" w:after="120"/>
        <w:ind w:left="0" w:hanging="0"/>
        <w:jc w:val="both"/>
        <w:rPr>
          <w:rFonts w:ascii="Times New Roman" w:hAnsi="Times New Roman" w:cs="Times New Roman"/>
          <w:b w:val="false"/>
          <w:b w:val="false"/>
          <w:color w:val="000000"/>
          <w:lang w:eastAsia="ru-RU"/>
        </w:rPr>
      </w:pPr>
      <w:r>
        <w:rPr>
          <w:rFonts w:cs="Times New Roman" w:ascii="Times New Roman" w:hAnsi="Times New Roman"/>
          <w:b w:val="false"/>
          <w:color w:val="000000"/>
          <w:lang w:eastAsia="ru-RU"/>
        </w:rPr>
        <w:t>Стоимость и порядок сдачи и приемки выполненных работ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Общая стоимость работ по Договору устанавливается в размере PRICE) рублей. НДС не облагается. До начала выполнения работ Заказчик уплачивает Исполнителю предоплату в размере 100 (Ста) % от общей стоимости работ по Договору.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Оплата осуществляется в безналичной форме путем перечисления денежных средств на расчетный счет Исполнителя, указанный в Договоре или счете. Датой оплаты считается дата поступления денежных средств на расчетный счет Исполнителя.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Факт выполнения работ подтверждается актом приемки выполненных работ. Акт приемки выполненных работ формируется Исполнителем и направляется Заказчику в срок не позднее 3 (трех) дней с момента окончания работ.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Заказчик принимает выполненные за отчетный период работы путем подписания акта сдачи-приемки выполненных работ (оказанных услуг) в течение 5 (пяти) рабочих дней с момента его получения на электронную почту, указанную в п.2.2.4., либо в этот же срок направляет мотивированные возражения. Возражения должны быть предоставлены в письменном виде и заверены подписью уполномоченного лица Заказчика. Возможно представление возражений в электронном виде путем их отправки по электронной почте на электронную почту Исполнителя (</w:t>
      </w:r>
      <w:hyperlink r:id="rId2">
        <w:r>
          <w:rPr>
            <w:rFonts w:eastAsia="Segoe UI"/>
            <w:szCs w:val="22"/>
          </w:rPr>
          <w:t>letov@</w:t>
        </w:r>
      </w:hyperlink>
      <w:r>
        <w:rPr>
          <w:rStyle w:val="Style17"/>
          <w:szCs w:val="22"/>
        </w:rPr>
        <w:t>promoexpert.</w:t>
      </w:r>
      <w:r>
        <w:rPr>
          <w:rStyle w:val="Style17"/>
          <w:szCs w:val="22"/>
          <w:lang w:val="en-US"/>
        </w:rPr>
        <w:t>pro</w:t>
      </w:r>
      <w:r>
        <w:rPr>
          <w:szCs w:val="22"/>
        </w:rPr>
        <w:t>). Замечания, отправленные по электронной почте, должны содержать Ф.И.О. уполномоченного лица Заказчика. В случае, если Заказчик в указанный срок не подпишет акт и не направит письменные мотивированные возражения акт считается подписанным, работы принятыми в полном объеме без замечаний.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Оригиналы документов (Договор, приложения и дополнительные соглашения к Договору, акты сдачи-приемки выполненных работ (оказанных услуг)) ежеквартально отправляются Исполнителем почтовой рассылкой на адрес, указанный в п.8 Договора, либо могут быть отправлены посредством системы электронного документооборота «Диадок». Отсканированные копии документов, в том числе Договор, приложения и дополнительные соглашения к Договору, акты сдачи-приемки выполненных работ (оказанных услуг), имеющие подпись уполномоченного лица и печать, поступившие по электронной почте имеют юридическую силу до момента получения Сторонами оригиналов документов.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В контексте Договора не применяется статья ГК РФ 317.1 «Проценты по денежному обязательству».</w:t>
      </w:r>
    </w:p>
    <w:p>
      <w:pPr>
        <w:pStyle w:val="Style49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 w:val="24"/>
        </w:rPr>
        <w:t xml:space="preserve"> </w:t>
      </w:r>
      <w:r>
        <w:rPr>
          <w:sz w:val="26"/>
          <w:szCs w:val="26"/>
        </w:rPr>
        <w:t>Срок действия Договора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Договор вступает в силу с момента подписания его Сторонами и заканчивает свое действие по выполнению Сторонами взаимных обязательств.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Исполнитель вправе в одностороннем порядке увеличить срок выполнения работ, указанный в п.1.4. Договора в случае несвоевременного предоставления Заказчиком доступов к сайту, указанных в п.2.2.2 Договора.</w:t>
      </w:r>
    </w:p>
    <w:p>
      <w:pPr>
        <w:pStyle w:val="Style49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rPr>
          <w:sz w:val="26"/>
          <w:szCs w:val="26"/>
        </w:rPr>
      </w:pPr>
      <w:r>
        <w:rPr>
          <w:sz w:val="26"/>
          <w:szCs w:val="26"/>
        </w:rPr>
        <w:t>Ответственность Сторон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 xml:space="preserve">Исполнитель несет ответственность за несвоевременное выполнение работ по Договору в размере 0,1% от суммы Договора за каждый день просрочки. 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Исполнитель несет ответственность за предоставление несанкционированного доступа к материалам сайта, с возможностью копирования и иного использования этих материалов, внесения изменений в программный код сайта или в материалы, размещенные на нем. Ответственность распространяется исключительно на документально подтвержденные убытки, причиненные таким доступом, в размере, не превышающем 100% от стоимости работ по Договору.</w:t>
      </w:r>
    </w:p>
    <w:p>
      <w:pPr>
        <w:pStyle w:val="Style49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 w:val="26"/>
          <w:szCs w:val="26"/>
        </w:rPr>
        <w:t>Порядок разрешения споров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Все споры и разногласия, возникающие в процессе исполнения Договора, разрешаются путем переговоров. В случае если Стороны не придут к взаимному соглашению по спорным вопросам, споры будут рассматриваться в Арбитражном суде Свердловской области.</w:t>
      </w:r>
    </w:p>
    <w:p>
      <w:pPr>
        <w:pStyle w:val="Style49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rPr>
          <w:sz w:val="26"/>
          <w:szCs w:val="26"/>
        </w:rPr>
      </w:pPr>
      <w:r>
        <w:rPr>
          <w:sz w:val="26"/>
          <w:szCs w:val="26"/>
        </w:rPr>
        <w:t>Конфиденциальность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426" w:leader="none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Факт заключения Договора не рассматривается Сторонами как конфиденциальная информация.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426" w:leader="none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Каждая из Сторон обязуется не разглашать конфиденциальную информацию, полученную от другой стороны в связи с исполнением Договора.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 xml:space="preserve">Под конфиденциальной информацией для целей Договора понимается любая научно-техническая, технологическая, коммерческая, организационная или иная информация (в том числе пароли доступа к протоколу </w:t>
      </w:r>
      <w:r>
        <w:rPr>
          <w:szCs w:val="22"/>
          <w:lang w:val="en-US"/>
        </w:rPr>
        <w:t>FTP</w:t>
      </w:r>
      <w:r>
        <w:rPr>
          <w:szCs w:val="22"/>
        </w:rPr>
        <w:t xml:space="preserve"> сайта),  имеющая действительную потенциальную коммерческую ценность для Сторон по Договору в силу ее неизвестности третьим лицам, которые могли бы получить выгоду от ее разглашения или использования, к которой нет свободного доступа на законном основании, и по отношению к которой принимаются адекватные ее ценности меры охраны. </w:t>
      </w:r>
    </w:p>
    <w:p>
      <w:pPr>
        <w:pStyle w:val="Style49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Адреса, реквизиты и подписи Сторон</w:t>
      </w:r>
    </w:p>
    <w:p>
      <w:pPr>
        <w:pStyle w:val="Normal"/>
        <w:tabs>
          <w:tab w:val="clear" w:pos="708"/>
          <w:tab w:val="left" w:pos="709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08"/>
          <w:tab w:val="left" w:pos="709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1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4398"/>
      </w:tblGrid>
      <w:tr>
        <w:trPr/>
        <w:tc>
          <w:tcPr>
            <w:tcW w:w="4781" w:type="dxa"/>
            <w:tcBorders>
              <w:right w:val="single" w:sz="4" w:space="0" w:color="000000"/>
            </w:tcBorders>
          </w:tcPr>
          <w:p>
            <w:pPr>
              <w:pStyle w:val="Style49"/>
              <w:widowControl w:val="false"/>
              <w:spacing w:before="0" w:after="120"/>
              <w:ind w:left="0" w:hanging="0"/>
              <w:rPr>
                <w:rFonts w:eastAsia="Arial"/>
                <w:b/>
                <w:b/>
                <w:szCs w:val="22"/>
              </w:rPr>
            </w:pPr>
            <w:r>
              <w:rPr>
                <w:rFonts w:eastAsia="Arial"/>
                <w:b/>
                <w:szCs w:val="22"/>
              </w:rPr>
              <w:t>Исполнитель</w:t>
            </w:r>
          </w:p>
        </w:tc>
        <w:tc>
          <w:tcPr>
            <w:tcW w:w="4398" w:type="dxa"/>
            <w:tcBorders>
              <w:left w:val="single" w:sz="4" w:space="0" w:color="000000"/>
            </w:tcBorders>
          </w:tcPr>
          <w:p>
            <w:pPr>
              <w:pStyle w:val="Style49"/>
              <w:widowControl w:val="false"/>
              <w:spacing w:before="0" w:after="120"/>
              <w:ind w:left="0" w:hanging="0"/>
              <w:rPr>
                <w:rFonts w:eastAsia="Arial"/>
                <w:b/>
                <w:b/>
                <w:szCs w:val="22"/>
              </w:rPr>
            </w:pPr>
            <w:r>
              <w:rPr>
                <w:rFonts w:eastAsia="Arial"/>
                <w:b/>
                <w:szCs w:val="22"/>
              </w:rPr>
              <w:t>Заказчик</w:t>
            </w:r>
          </w:p>
        </w:tc>
      </w:tr>
      <w:tr>
        <w:trPr/>
        <w:tc>
          <w:tcPr>
            <w:tcW w:w="47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ООО «Промо Эксперт»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 xml:space="preserve">Юр. адрес: </w:t>
            </w:r>
            <w:r>
              <w:rPr>
                <w:rFonts w:eastAsia="Arial"/>
                <w:sz w:val="22"/>
                <w:szCs w:val="22"/>
              </w:rPr>
              <w:t>620072, г Екатеринбург, ул.Сыромолотова д.28 кв.118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 xml:space="preserve">Почтовый адрес: </w:t>
            </w:r>
            <w:r>
              <w:rPr>
                <w:rFonts w:eastAsia="Arial"/>
                <w:sz w:val="22"/>
                <w:szCs w:val="22"/>
              </w:rPr>
              <w:t>620072, г Екатеринбург, ул.Сыромолотова д.28 кв.118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 xml:space="preserve">ИНН/КПП </w:t>
            </w:r>
            <w:r>
              <w:rPr>
                <w:rFonts w:eastAsia="Arial"/>
                <w:sz w:val="22"/>
                <w:szCs w:val="22"/>
              </w:rPr>
              <w:t>6679023168/ 667001001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 xml:space="preserve">р/с: </w:t>
            </w:r>
            <w:r>
              <w:rPr>
                <w:rFonts w:eastAsia="Arial"/>
                <w:sz w:val="22"/>
                <w:szCs w:val="22"/>
              </w:rPr>
              <w:t>40702810938370000883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rFonts w:eastAsia="Arial"/>
                <w:b/>
                <w:sz w:val="22"/>
                <w:szCs w:val="22"/>
              </w:rPr>
              <w:t xml:space="preserve">Банк: </w:t>
            </w:r>
            <w:r>
              <w:rPr>
                <w:rFonts w:eastAsia="Arial"/>
                <w:sz w:val="22"/>
                <w:szCs w:val="22"/>
              </w:rPr>
              <w:t>Филиал «Екатеринбургский» АО «Альфа-Банк»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rFonts w:eastAsia="Arial"/>
                <w:b/>
                <w:sz w:val="22"/>
                <w:szCs w:val="22"/>
              </w:rPr>
              <w:t xml:space="preserve">БИК </w:t>
            </w:r>
            <w:r>
              <w:rPr>
                <w:rFonts w:eastAsia="Arial"/>
                <w:sz w:val="22"/>
                <w:szCs w:val="22"/>
              </w:rPr>
              <w:t>046577964</w:t>
            </w:r>
          </w:p>
        </w:tc>
        <w:tc>
          <w:tcPr>
            <w:tcW w:w="43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ООО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 «COMPANY»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Юр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. </w:t>
            </w:r>
            <w:r>
              <w:rPr>
                <w:rFonts w:eastAsia="Arial"/>
                <w:b/>
                <w:sz w:val="22"/>
                <w:szCs w:val="22"/>
              </w:rPr>
              <w:t>адрес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eastAsia="Arial"/>
                <w:sz w:val="22"/>
                <w:szCs w:val="22"/>
                <w:lang w:val="en-US"/>
              </w:rPr>
              <w:t>OFF_ADDRESS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Почтовый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/>
                <w:b/>
                <w:sz w:val="22"/>
                <w:szCs w:val="22"/>
              </w:rPr>
              <w:t>адрес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eastAsia="Arial"/>
                <w:sz w:val="22"/>
                <w:szCs w:val="22"/>
                <w:lang w:val="en-US"/>
              </w:rPr>
              <w:t>POST_ADDRESS</w:t>
            </w:r>
          </w:p>
          <w:p>
            <w:pPr>
              <w:pStyle w:val="Style49"/>
              <w:widowControl w:val="false"/>
              <w:ind w:left="0" w:hanging="0"/>
              <w:rPr>
                <w:rFonts w:eastAsia="Arial"/>
                <w:b/>
                <w:b/>
                <w:szCs w:val="22"/>
                <w:lang w:val="en-US"/>
              </w:rPr>
            </w:pPr>
            <w:r>
              <w:rPr>
                <w:rFonts w:eastAsia="Arial"/>
                <w:b/>
                <w:szCs w:val="22"/>
              </w:rPr>
              <w:t>ИНН</w:t>
            </w:r>
            <w:r>
              <w:rPr>
                <w:rFonts w:eastAsia="Arial"/>
                <w:b/>
                <w:szCs w:val="22"/>
                <w:lang w:val="en-US"/>
              </w:rPr>
              <w:t>/</w:t>
            </w:r>
            <w:r>
              <w:rPr>
                <w:rFonts w:eastAsia="Arial"/>
                <w:b/>
                <w:szCs w:val="22"/>
              </w:rPr>
              <w:t>КПП</w:t>
            </w:r>
            <w:r>
              <w:rPr>
                <w:rFonts w:eastAsia="Arial"/>
                <w:b/>
                <w:szCs w:val="22"/>
                <w:lang w:val="en-US"/>
              </w:rPr>
              <w:t xml:space="preserve">: </w:t>
            </w:r>
            <w:r>
              <w:rPr>
                <w:rFonts w:eastAsia="Arial"/>
                <w:szCs w:val="22"/>
                <w:lang w:val="en-US"/>
              </w:rPr>
              <w:t>INN/KPP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р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>/</w:t>
            </w:r>
            <w:r>
              <w:rPr>
                <w:rFonts w:eastAsia="Arial"/>
                <w:b/>
                <w:sz w:val="22"/>
                <w:szCs w:val="22"/>
              </w:rPr>
              <w:t>с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/>
                <w:sz w:val="22"/>
                <w:szCs w:val="22"/>
                <w:lang w:val="en-US"/>
              </w:rPr>
              <w:t>BANK_COUNT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Банк</w:t>
            </w:r>
            <w:r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BANK_NAME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к</w:t>
            </w:r>
            <w:r>
              <w:rPr>
                <w:b/>
                <w:sz w:val="22"/>
                <w:szCs w:val="22"/>
                <w:lang w:val="en-US"/>
              </w:rPr>
              <w:t>/</w:t>
            </w:r>
            <w:r>
              <w:rPr>
                <w:b/>
                <w:sz w:val="22"/>
                <w:szCs w:val="22"/>
              </w:rPr>
              <w:t>с</w:t>
            </w:r>
            <w:r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COR_COUNT</w:t>
            </w:r>
          </w:p>
          <w:p>
            <w:pPr>
              <w:pStyle w:val="Normal"/>
              <w:widowControl w:val="false"/>
              <w:spacing w:before="0" w:after="120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БИК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eastAsia="Arial"/>
                <w:sz w:val="22"/>
                <w:szCs w:val="22"/>
                <w:lang w:val="en-US"/>
              </w:rPr>
              <w:t>BANK_ID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  <w:lang w:val="en-US"/>
              </w:rPr>
            </w:pPr>
            <w:r>
              <w:rPr>
                <w:rFonts w:eastAsia="Arial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yle49"/>
        <w:ind w:left="360" w:hanging="0"/>
        <w:jc w:val="center"/>
        <w:rPr>
          <w:b/>
          <w:b/>
          <w:szCs w:val="22"/>
        </w:rPr>
      </w:pPr>
      <w:r>
        <w:rPr>
          <w:b/>
          <w:szCs w:val="22"/>
        </w:rPr>
        <w:t>Подписи сторон</w:t>
      </w:r>
    </w:p>
    <w:p>
      <w:pPr>
        <w:pStyle w:val="Style49"/>
        <w:ind w:left="360" w:hanging="0"/>
        <w:jc w:val="center"/>
        <w:rPr>
          <w:b/>
          <w:b/>
          <w:szCs w:val="22"/>
        </w:rPr>
      </w:pPr>
      <w:r>
        <w:rPr>
          <w:b/>
          <w:szCs w:val="22"/>
        </w:rPr>
      </w:r>
    </w:p>
    <w:tbl>
      <w:tblPr>
        <w:tblW w:w="932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534"/>
      </w:tblGrid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Arial"/>
                <w:sz w:val="22"/>
                <w:szCs w:val="22"/>
              </w:rPr>
              <w:t xml:space="preserve">Генеральный директор </w:t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ООО «Промо Эксперт»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Style49"/>
              <w:widowControl w:val="false"/>
              <w:spacing w:before="0" w:after="0"/>
              <w:ind w:left="0" w:hanging="0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 xml:space="preserve">Генеральный директор </w:t>
            </w:r>
          </w:p>
          <w:p>
            <w:pPr>
              <w:pStyle w:val="Style49"/>
              <w:widowControl w:val="false"/>
              <w:spacing w:before="0" w:after="0"/>
              <w:ind w:left="0" w:hanging="0"/>
              <w:rPr>
                <w:rFonts w:eastAsia="Arial"/>
                <w:szCs w:val="22"/>
                <w:highlight w:val="yellow"/>
              </w:rPr>
            </w:pPr>
            <w:r>
              <w:rPr>
                <w:rFonts w:eastAsia="Arial"/>
                <w:szCs w:val="22"/>
              </w:rPr>
              <w:t>ООО «COMPANY»</w:t>
            </w:r>
          </w:p>
        </w:tc>
      </w:tr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eastAsia="Arial"/>
                <w:sz w:val="22"/>
                <w:szCs w:val="22"/>
                <w:highlight w:val="yellow"/>
              </w:rPr>
            </w:pPr>
            <w:r>
              <w:rPr>
                <w:rFonts w:eastAsia="Arial"/>
                <w:sz w:val="22"/>
                <w:szCs w:val="22"/>
                <w:highlight w:val="yellow"/>
              </w:rPr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Arial"/>
                <w:sz w:val="22"/>
                <w:szCs w:val="22"/>
              </w:rPr>
              <w:t>м. п. ____________________ Летов Е.И.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Arial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  <w:highlight w:val="yellow"/>
              </w:rPr>
            </w:pPr>
            <w:r>
              <w:rPr>
                <w:rFonts w:eastAsia="Arial"/>
                <w:sz w:val="22"/>
                <w:szCs w:val="22"/>
              </w:rPr>
              <w:t xml:space="preserve">м. п. ____________________ </w:t>
            </w:r>
            <w:r>
              <w:rPr>
                <w:rFonts w:eastAsia="Arial"/>
                <w:sz w:val="22"/>
                <w:szCs w:val="22"/>
                <w:shd w:fill="FFFFFF" w:val="clear"/>
              </w:rPr>
              <w:t>SHORT_NAME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eastAsia="Arial"/>
                <w:sz w:val="22"/>
                <w:szCs w:val="22"/>
                <w:highlight w:val="yellow"/>
              </w:rPr>
            </w:pPr>
            <w:r>
              <w:rPr>
                <w:rFonts w:eastAsia="Arial"/>
                <w:sz w:val="22"/>
                <w:szCs w:val="22"/>
                <w:highlight w:val="yellow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4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144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8"/>
          <w:tab w:val="left" w:pos="1440" w:leader="none"/>
        </w:tabs>
        <w:jc w:val="both"/>
        <w:rPr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851" w:gutter="0" w:header="720" w:top="1134" w:footer="72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13"/>
      <w:rPr>
        <w:sz w:val="22"/>
        <w:szCs w:val="22"/>
      </w:rPr>
    </w:pPr>
    <w:r>
      <w:rPr>
        <w:sz w:val="22"/>
        <w:szCs w:val="22"/>
      </w:rPr>
    </w:r>
  </w:p>
  <w:p>
    <w:pPr>
      <w:pStyle w:val="113"/>
      <w:rPr/>
    </w:pPr>
    <w:r>
      <w:rPr>
        <w:sz w:val="22"/>
        <w:szCs w:val="22"/>
      </w:rPr>
      <w:t xml:space="preserve">____________________ Летов Е.И.                                     </w:t>
      <w:tab/>
      <w:t xml:space="preserve">   ____________________ SHORT_NAME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1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11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имвол сноски"/>
    <w:qFormat/>
    <w:rPr>
      <w:vertAlign w:val="superscript"/>
    </w:rPr>
  </w:style>
  <w:style w:type="character" w:styleId="Style16">
    <w:name w:val="Символ концевой сноски"/>
    <w:qFormat/>
    <w:rPr>
      <w:vertAlign w:val="superscript"/>
    </w:rPr>
  </w:style>
  <w:style w:type="character" w:styleId="Style17">
    <w:name w:val="Интернет-ссылка"/>
    <w:rPr>
      <w:color w:val="0000FF"/>
      <w:u w:val="single"/>
    </w:rPr>
  </w:style>
  <w:style w:type="character" w:styleId="Style18">
    <w:name w:val="Выделение жирным"/>
    <w:qFormat/>
    <w:rPr>
      <w:b/>
      <w:bCs/>
    </w:rPr>
  </w:style>
  <w:style w:type="character" w:styleId="Style19">
    <w:name w:val="Текст концевой сноски Знак"/>
    <w:qFormat/>
    <w:rPr>
      <w:sz w:val="20"/>
    </w:rPr>
  </w:style>
  <w:style w:type="character" w:styleId="Style20">
    <w:name w:val="Текст сноски Знак"/>
    <w:qFormat/>
    <w:rPr>
      <w:sz w:val="18"/>
    </w:rPr>
  </w:style>
  <w:style w:type="character" w:styleId="1">
    <w:name w:val="Верхний колонтитул Знак1"/>
    <w:qFormat/>
    <w:rPr>
      <w:sz w:val="24"/>
      <w:szCs w:val="24"/>
    </w:rPr>
  </w:style>
  <w:style w:type="character" w:styleId="Style21">
    <w:name w:val="Название Знак"/>
    <w:qFormat/>
    <w:rPr>
      <w:sz w:val="48"/>
      <w:szCs w:val="48"/>
    </w:rPr>
  </w:style>
  <w:style w:type="character" w:styleId="11">
    <w:name w:val="Нижний колонтитул Знак1"/>
    <w:qFormat/>
    <w:rPr>
      <w:sz w:val="24"/>
      <w:szCs w:val="24"/>
    </w:rPr>
  </w:style>
  <w:style w:type="character" w:styleId="Style22">
    <w:name w:val="Подзаголовок Знак"/>
    <w:qFormat/>
    <w:rPr>
      <w:sz w:val="24"/>
      <w:szCs w:val="24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2">
    <w:name w:val="Цитата 2 Знак"/>
    <w:qFormat/>
    <w:rPr>
      <w:i/>
    </w:rPr>
  </w:style>
  <w:style w:type="character" w:styleId="Style23">
    <w:name w:val="Выделенная цитата Знак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12">
    <w:name w:val="Заголовок 1 Знак"/>
    <w:qFormat/>
    <w:rPr>
      <w:rFonts w:ascii="Arial" w:hAnsi="Arial" w:eastAsia="Arial" w:cs="Times New Roman"/>
      <w:bCs/>
      <w:color w:val="000000"/>
      <w:sz w:val="32"/>
      <w:szCs w:val="32"/>
    </w:rPr>
  </w:style>
  <w:style w:type="character" w:styleId="21">
    <w:name w:val="Заголовок 2 Знак"/>
    <w:qFormat/>
    <w:rPr>
      <w:rFonts w:ascii="Cambria" w:hAnsi="Cambria" w:eastAsia="Arial" w:cs="Times New Roman"/>
      <w:b/>
      <w:bCs/>
      <w:color w:val="4F81BD"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3z6">
    <w:name w:val="WW8Num3z6"/>
    <w:qFormat/>
    <w:rPr>
      <w:b/>
      <w:bCs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8Num4z0">
    <w:name w:val="WW8Num4z0"/>
    <w:qFormat/>
    <w:rPr>
      <w:b w:val="fals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3">
    <w:name w:val="Основной шрифт абзаца3"/>
    <w:qFormat/>
    <w:rPr/>
  </w:style>
  <w:style w:type="character" w:styleId="22">
    <w:name w:val="Основной шрифт абзаца2"/>
    <w:qFormat/>
    <w:rPr/>
  </w:style>
  <w:style w:type="character" w:styleId="WW8Num2z1">
    <w:name w:val="WW8Num2z1"/>
    <w:qFormat/>
    <w:rPr>
      <w:b w:val="false"/>
    </w:rPr>
  </w:style>
  <w:style w:type="character" w:styleId="WW8Num5z0">
    <w:name w:val="WW8Num5z0"/>
    <w:qFormat/>
    <w:rPr>
      <w:rFonts w:ascii="Times New Roman" w:hAnsi="Times New Roman" w:cs="Times New Roman"/>
      <w:b w:val="false"/>
      <w:i w:val="false"/>
      <w:sz w:val="20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13">
    <w:name w:val="Основной шрифт абзаца1"/>
    <w:qFormat/>
    <w:rPr/>
  </w:style>
  <w:style w:type="character" w:styleId="Newstext">
    <w:name w:val="news_text"/>
    <w:qFormat/>
    <w:rPr/>
  </w:style>
  <w:style w:type="character" w:styleId="Style24">
    <w:name w:val="Маркеры списка"/>
    <w:qFormat/>
    <w:rPr>
      <w:rFonts w:ascii="starsymbol;Segoe Print" w:hAnsi="starsymbol;Segoe Print" w:eastAsia="starsymbol;Segoe Print" w:cs="starsymbol;Segoe Print"/>
      <w:sz w:val="18"/>
      <w:szCs w:val="18"/>
    </w:rPr>
  </w:style>
  <w:style w:type="character" w:styleId="Style25">
    <w:name w:val="Символ нумерации"/>
    <w:qFormat/>
    <w:rPr>
      <w:b/>
      <w:bCs/>
    </w:rPr>
  </w:style>
  <w:style w:type="character" w:styleId="Style26">
    <w:name w:val="РеПрав Знак"/>
    <w:qFormat/>
    <w:rPr>
      <w:rFonts w:ascii="Arial" w:hAnsi="Arial" w:cs="Arial"/>
      <w:color w:val="00B050"/>
      <w:lang w:val="ru-RU" w:bidi="ar-SA"/>
    </w:rPr>
  </w:style>
  <w:style w:type="character" w:styleId="Appleconvertedspace">
    <w:name w:val="apple-converted-space"/>
    <w:qFormat/>
    <w:rPr/>
  </w:style>
  <w:style w:type="character" w:styleId="Style27">
    <w:name w:val="Верхний колонтитул Знак"/>
    <w:qFormat/>
    <w:rPr>
      <w:sz w:val="24"/>
      <w:szCs w:val="24"/>
    </w:rPr>
  </w:style>
  <w:style w:type="character" w:styleId="Style28">
    <w:name w:val="Нижний колонтитул Знак"/>
    <w:qFormat/>
    <w:rPr>
      <w:sz w:val="24"/>
      <w:szCs w:val="24"/>
    </w:rPr>
  </w:style>
  <w:style w:type="character" w:styleId="WW">
    <w:name w:val="WW-Выделение жирным"/>
    <w:qFormat/>
    <w:rPr>
      <w:b/>
      <w:bCs/>
    </w:rPr>
  </w:style>
  <w:style w:type="paragraph" w:styleId="Style29">
    <w:name w:val="Заголовок"/>
    <w:basedOn w:val="Normal"/>
    <w:next w:val="Normal"/>
    <w:qFormat/>
    <w:pPr>
      <w:spacing w:before="300" w:after="200"/>
      <w:contextualSpacing/>
    </w:pPr>
    <w:rPr>
      <w:sz w:val="48"/>
      <w:szCs w:val="48"/>
    </w:rPr>
  </w:style>
  <w:style w:type="paragraph" w:styleId="Style30">
    <w:name w:val="Body Text"/>
    <w:basedOn w:val="Normal"/>
    <w:pPr>
      <w:spacing w:before="0" w:after="120"/>
    </w:pPr>
    <w:rPr/>
  </w:style>
  <w:style w:type="paragraph" w:styleId="Style31">
    <w:name w:val="List"/>
    <w:basedOn w:val="Style30"/>
    <w:pPr/>
    <w:rPr>
      <w:rFonts w:ascii="Arial" w:hAnsi="Arial" w:cs="Tahoma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3">
    <w:name w:val="Указатель"/>
    <w:basedOn w:val="Normal"/>
    <w:qFormat/>
    <w:pPr>
      <w:suppressLineNumbers/>
    </w:pPr>
    <w:rPr>
      <w:rFonts w:cs="Lohit Devanagari"/>
    </w:rPr>
  </w:style>
  <w:style w:type="paragraph" w:styleId="Style3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5">
    <w:name w:val="Endnote Text"/>
    <w:basedOn w:val="Normal"/>
    <w:pPr/>
    <w:rPr>
      <w:sz w:val="20"/>
      <w:szCs w:val="20"/>
      <w:lang w:val="ru-RU"/>
    </w:rPr>
  </w:style>
  <w:style w:type="paragraph" w:styleId="Style36">
    <w:name w:val="Footnote Text"/>
    <w:basedOn w:val="Normal"/>
    <w:pPr>
      <w:spacing w:before="0" w:after="40"/>
    </w:pPr>
    <w:rPr>
      <w:sz w:val="18"/>
      <w:szCs w:val="20"/>
      <w:lang w:val="ru-RU"/>
    </w:rPr>
  </w:style>
  <w:style w:type="paragraph" w:styleId="8">
    <w:name w:val="TOC 8"/>
    <w:basedOn w:val="Normal"/>
    <w:next w:val="Normal"/>
    <w:pPr>
      <w:spacing w:before="0" w:after="57"/>
      <w:ind w:left="1984" w:hanging="0"/>
    </w:pPr>
    <w:rPr/>
  </w:style>
  <w:style w:type="paragraph" w:styleId="Style37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8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9">
    <w:name w:val="TOC 9"/>
    <w:basedOn w:val="Normal"/>
    <w:next w:val="Normal"/>
    <w:pPr>
      <w:spacing w:before="0" w:after="57"/>
      <w:ind w:left="2268" w:hanging="0"/>
    </w:pPr>
    <w:rPr/>
  </w:style>
  <w:style w:type="paragraph" w:styleId="7">
    <w:name w:val="TOC 7"/>
    <w:basedOn w:val="Normal"/>
    <w:next w:val="Normal"/>
    <w:pPr>
      <w:spacing w:before="0" w:after="57"/>
      <w:ind w:left="1701" w:hanging="0"/>
    </w:pPr>
    <w:rPr/>
  </w:style>
  <w:style w:type="paragraph" w:styleId="14">
    <w:name w:val="TOC 1"/>
    <w:basedOn w:val="Normal"/>
    <w:next w:val="Normal"/>
    <w:pPr>
      <w:spacing w:before="0" w:after="57"/>
    </w:pPr>
    <w:rPr/>
  </w:style>
  <w:style w:type="paragraph" w:styleId="6">
    <w:name w:val="TOC 6"/>
    <w:basedOn w:val="Normal"/>
    <w:next w:val="Normal"/>
    <w:pPr>
      <w:spacing w:before="0" w:after="57"/>
      <w:ind w:left="1417" w:hanging="0"/>
    </w:pPr>
    <w:rPr/>
  </w:style>
  <w:style w:type="paragraph" w:styleId="Style39">
    <w:name w:val="Перечень рисунков"/>
    <w:basedOn w:val="Normal"/>
    <w:next w:val="Normal"/>
    <w:qFormat/>
    <w:pPr/>
    <w:rPr/>
  </w:style>
  <w:style w:type="paragraph" w:styleId="31">
    <w:name w:val="TOC 3"/>
    <w:basedOn w:val="Normal"/>
    <w:next w:val="Normal"/>
    <w:pPr>
      <w:spacing w:before="0" w:after="57"/>
      <w:ind w:left="567" w:hanging="0"/>
    </w:pPr>
    <w:rPr/>
  </w:style>
  <w:style w:type="paragraph" w:styleId="23">
    <w:name w:val="TOC 2"/>
    <w:basedOn w:val="Normal"/>
    <w:next w:val="Normal"/>
    <w:pPr>
      <w:spacing w:before="0" w:after="57"/>
      <w:ind w:left="283" w:hanging="0"/>
    </w:pPr>
    <w:rPr/>
  </w:style>
  <w:style w:type="paragraph" w:styleId="4">
    <w:name w:val="TOC 4"/>
    <w:basedOn w:val="Normal"/>
    <w:next w:val="Normal"/>
    <w:pPr>
      <w:spacing w:before="0" w:after="57"/>
      <w:ind w:left="850" w:hanging="0"/>
    </w:pPr>
    <w:rPr/>
  </w:style>
  <w:style w:type="paragraph" w:styleId="5">
    <w:name w:val="TOC 5"/>
    <w:basedOn w:val="Normal"/>
    <w:next w:val="Normal"/>
    <w:pPr>
      <w:spacing w:before="0" w:after="57"/>
      <w:ind w:left="1134" w:hanging="0"/>
    </w:pPr>
    <w:rPr/>
  </w:style>
  <w:style w:type="paragraph" w:styleId="Style40">
    <w:name w:val="Body Text Indent"/>
    <w:basedOn w:val="Normal"/>
    <w:pPr>
      <w:spacing w:before="0" w:after="120"/>
      <w:ind w:left="283" w:hanging="0"/>
    </w:pPr>
    <w:rPr/>
  </w:style>
  <w:style w:type="paragraph" w:styleId="Style41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42">
    <w:name w:val="Subtitle"/>
    <w:basedOn w:val="Normal"/>
    <w:next w:val="Style30"/>
    <w:qFormat/>
    <w:pPr>
      <w:keepNext w:val="true"/>
      <w:spacing w:before="240" w:after="120"/>
      <w:jc w:val="center"/>
    </w:pPr>
    <w:rPr>
      <w:rFonts w:eastAsia="Lucida Sans Unicode" w:cs="Tahoma"/>
      <w:i/>
      <w:iCs/>
      <w:sz w:val="28"/>
      <w:szCs w:val="28"/>
    </w:rPr>
  </w:style>
  <w:style w:type="paragraph" w:styleId="311">
    <w:name w:val="Заголовок 31"/>
    <w:basedOn w:val="Normal"/>
    <w:next w:val="Normal"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1">
    <w:name w:val="Заголовок 41"/>
    <w:basedOn w:val="Normal"/>
    <w:next w:val="Normal"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1">
    <w:name w:val="Заголовок 51"/>
    <w:basedOn w:val="Normal"/>
    <w:next w:val="Normal"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1">
    <w:name w:val="Заголовок 61"/>
    <w:basedOn w:val="Normal"/>
    <w:next w:val="Normal"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1">
    <w:name w:val="Заголовок 71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1">
    <w:name w:val="Заголовок 81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1">
    <w:name w:val="Заголовок 91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paragraph" w:styleId="Style43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4">
    <w:name w:val="Цитата 2"/>
    <w:basedOn w:val="Normal"/>
    <w:next w:val="Normal"/>
    <w:qFormat/>
    <w:pPr>
      <w:ind w:left="720" w:right="720" w:hanging="0"/>
    </w:pPr>
    <w:rPr>
      <w:i/>
      <w:sz w:val="20"/>
      <w:szCs w:val="20"/>
      <w:lang w:val="ru-RU"/>
    </w:rPr>
  </w:style>
  <w:style w:type="paragraph" w:styleId="Style44">
    <w:name w:val="Выделенная цитата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ind w:left="720" w:right="720" w:hanging="0"/>
    </w:pPr>
    <w:rPr>
      <w:i/>
      <w:sz w:val="20"/>
      <w:szCs w:val="20"/>
      <w:lang w:val="ru-RU"/>
    </w:rPr>
  </w:style>
  <w:style w:type="paragraph" w:styleId="15">
    <w:name w:val="Название объекта1"/>
    <w:basedOn w:val="Normal"/>
    <w:next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Style45">
    <w:name w:val="Index Heading"/>
    <w:basedOn w:val="Style29"/>
    <w:pPr/>
    <w:rPr/>
  </w:style>
  <w:style w:type="paragraph" w:styleId="Style46">
    <w:name w:val="TOC Heading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11">
    <w:name w:val="Заголовок 11"/>
    <w:basedOn w:val="Normal"/>
    <w:next w:val="Normal"/>
    <w:qFormat/>
    <w:pPr>
      <w:keepNext w:val="true"/>
      <w:keepLines/>
      <w:spacing w:before="120" w:after="120"/>
      <w:jc w:val="center"/>
      <w:outlineLvl w:val="0"/>
    </w:pPr>
    <w:rPr>
      <w:rFonts w:ascii="Arial" w:hAnsi="Arial" w:eastAsia="Arial" w:cs="Times New Roman"/>
      <w:bCs/>
      <w:color w:val="000000"/>
      <w:sz w:val="32"/>
      <w:szCs w:val="32"/>
    </w:rPr>
  </w:style>
  <w:style w:type="paragraph" w:styleId="211">
    <w:name w:val="Заголовок 21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Arial" w:cs="Times New Roman"/>
      <w:b/>
      <w:bCs/>
      <w:color w:val="4F81BD"/>
      <w:sz w:val="26"/>
      <w:szCs w:val="26"/>
    </w:rPr>
  </w:style>
  <w:style w:type="paragraph" w:styleId="16">
    <w:name w:val="Заголовок1"/>
    <w:basedOn w:val="Normal"/>
    <w:next w:val="Style30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32">
    <w:name w:val="Название3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33">
    <w:name w:val="Указатель3"/>
    <w:basedOn w:val="Normal"/>
    <w:qFormat/>
    <w:pPr>
      <w:suppressLineNumbers/>
    </w:pPr>
    <w:rPr>
      <w:rFonts w:cs="Mangal"/>
    </w:rPr>
  </w:style>
  <w:style w:type="paragraph" w:styleId="25">
    <w:name w:val="Название2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26">
    <w:name w:val="Указатель2"/>
    <w:basedOn w:val="Normal"/>
    <w:qFormat/>
    <w:pPr>
      <w:suppressLineNumbers/>
    </w:pPr>
    <w:rPr>
      <w:rFonts w:ascii="Arial" w:hAnsi="Arial" w:cs="Tahoma"/>
    </w:rPr>
  </w:style>
  <w:style w:type="paragraph" w:styleId="17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8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212">
    <w:name w:val="Основной текст с отступом 21"/>
    <w:basedOn w:val="Normal"/>
    <w:qFormat/>
    <w:pPr>
      <w:ind w:firstLine="720"/>
      <w:jc w:val="both"/>
    </w:pPr>
    <w:rPr>
      <w:rFonts w:ascii="Arial" w:hAnsi="Arial" w:cs="Arial"/>
      <w:sz w:val="20"/>
      <w:szCs w:val="20"/>
    </w:rPr>
  </w:style>
  <w:style w:type="paragraph" w:styleId="ConsPlusNormal">
    <w:name w:val="ConsPlusNormal"/>
    <w:qFormat/>
    <w:pPr>
      <w:widowControl/>
      <w:suppressAutoHyphens w:val="true"/>
      <w:bidi w:val="0"/>
      <w:spacing w:before="0" w:after="0"/>
      <w:ind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ru-RU" w:eastAsia="zh-CN" w:bidi="ar-SA"/>
    </w:rPr>
  </w:style>
  <w:style w:type="paragraph" w:styleId="19">
    <w:name w:val="Текст1"/>
    <w:basedOn w:val="Normal"/>
    <w:qFormat/>
    <w:pPr/>
    <w:rPr>
      <w:rFonts w:ascii="Courier New" w:hAnsi="Courier New" w:cs="Courier New"/>
      <w:sz w:val="20"/>
      <w:szCs w:val="20"/>
    </w:rPr>
  </w:style>
  <w:style w:type="paragraph" w:styleId="ConsNormal">
    <w:name w:val="ConsNormal"/>
    <w:qFormat/>
    <w:pPr>
      <w:widowControl/>
      <w:suppressAutoHyphens w:val="true"/>
      <w:bidi w:val="0"/>
      <w:spacing w:before="0" w:after="0"/>
      <w:ind w:right="19772" w:firstLine="720"/>
      <w:jc w:val="left"/>
    </w:pPr>
    <w:rPr>
      <w:rFonts w:ascii="Arial" w:hAnsi="Arial" w:eastAsia="Arial" w:cs="Arial"/>
      <w:color w:val="auto"/>
      <w:kern w:val="0"/>
      <w:sz w:val="24"/>
      <w:szCs w:val="24"/>
      <w:lang w:val="ru-RU" w:eastAsia="zh-CN" w:bidi="ar-SA"/>
    </w:rPr>
  </w:style>
  <w:style w:type="paragraph" w:styleId="110">
    <w:name w:val="Текст примечания1"/>
    <w:basedOn w:val="Normal"/>
    <w:qFormat/>
    <w:pPr/>
    <w:rPr>
      <w:sz w:val="20"/>
      <w:szCs w:val="20"/>
    </w:rPr>
  </w:style>
  <w:style w:type="paragraph" w:styleId="ConsPlusNonformat">
    <w:name w:val="ConsPlusNonformat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Arial" w:cs="Courier New"/>
      <w:color w:val="auto"/>
      <w:kern w:val="0"/>
      <w:sz w:val="20"/>
      <w:szCs w:val="20"/>
      <w:lang w:val="ru-RU" w:eastAsia="zh-CN" w:bidi="ar-SA"/>
    </w:rPr>
  </w:style>
  <w:style w:type="paragraph" w:styleId="Style47">
    <w:name w:val="Содержимое таблицы"/>
    <w:basedOn w:val="Normal"/>
    <w:qFormat/>
    <w:pPr>
      <w:suppressLineNumbers/>
    </w:pPr>
    <w:rPr/>
  </w:style>
  <w:style w:type="paragraph" w:styleId="Style48">
    <w:name w:val="Заголовок таблицы"/>
    <w:basedOn w:val="Style47"/>
    <w:qFormat/>
    <w:pPr>
      <w:jc w:val="center"/>
    </w:pPr>
    <w:rPr>
      <w:b/>
      <w:bCs/>
    </w:rPr>
  </w:style>
  <w:style w:type="paragraph" w:styleId="Normal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Mangal"/>
      <w:color w:val="auto"/>
      <w:kern w:val="0"/>
      <w:sz w:val="24"/>
      <w:szCs w:val="24"/>
      <w:lang w:val="ru-RU" w:eastAsia="zh-CN" w:bidi="hi-IN"/>
    </w:rPr>
  </w:style>
  <w:style w:type="paragraph" w:styleId="Style49">
    <w:name w:val="Абзац списка"/>
    <w:basedOn w:val="Normal"/>
    <w:qFormat/>
    <w:pPr>
      <w:widowControl w:val="false"/>
      <w:spacing w:before="0" w:after="120"/>
      <w:ind w:left="720" w:hanging="0"/>
      <w:jc w:val="both"/>
    </w:pPr>
    <w:rPr>
      <w:sz w:val="22"/>
    </w:rPr>
  </w:style>
  <w:style w:type="paragraph" w:styleId="112">
    <w:name w:val="Верхний колонтитул1"/>
    <w:basedOn w:val="Normal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13">
    <w:name w:val="Нижний колонтитул1"/>
    <w:basedOn w:val="Normal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50">
    <w:name w:val="Текст таблицы"/>
    <w:basedOn w:val="Normal"/>
    <w:qFormat/>
    <w:pPr>
      <w:jc w:val="both"/>
    </w:pPr>
    <w:rPr>
      <w:sz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tov@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</TotalTime>
  <Application>LibreOffice/7.3.7.2$Linux_X86_64 LibreOffice_project/30$Build-2</Application>
  <AppVersion>15.0000</AppVersion>
  <Pages>4</Pages>
  <Words>1312</Words>
  <Characters>9319</Characters>
  <CharactersWithSpaces>10636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2021-10-13T08:22:00Z</dcterms:created>
  <dc:creator>Сергей Амиров</dc:creator>
  <dc:description/>
  <dc:language>ru-RU</dc:language>
  <cp:lastModifiedBy/>
  <dcterms:modified xsi:type="dcterms:W3CDTF">2023-07-28T12:32:19Z</dcterms:modified>
  <cp:revision>9</cp:revision>
  <dc:subject/>
  <dc:title>ДОГОВОР ОКАЗАНИЯ УСЛУГ № 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224F0C5122E342A2A3377D8F660886B6_x0000__x0000__x0000_</vt:lpwstr>
  </property>
  <property fmtid="{D5CDD505-2E9C-101B-9397-08002B2CF9AE}" pid="3" name="KSOProductBuildVer">
    <vt:lpwstr>1049-11.2.0.11306_x0000__x0000_</vt:lpwstr>
  </property>
</Properties>
</file>