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60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</w:rPr>
        <w:t>Договор на выполнение работ №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</w:rPr>
        <w:t>NUM_DEAL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Екатеринбург</w:t>
      </w:r>
      <w:r>
        <w:rPr>
          <w:sz w:val="22"/>
          <w:szCs w:val="22"/>
          <w:lang w:val="en-US"/>
        </w:rPr>
        <w:tab/>
        <w:tab/>
        <w:tab/>
        <w:tab/>
        <w:tab/>
        <w:tab/>
        <w:tab/>
        <w:tab/>
        <w:tab/>
        <w:t xml:space="preserve"> «DAY» MONTH YEAR </w:t>
      </w: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>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ООО «Промо Эксперт», именуемое в дальнейшем «Исполнитель», в лице Генерального директора Летова Е. И., действующего на основании Устава, с одной стороны, и ООО «COMPANY» в лице Генерального директора DIR_NAME, действующего на основании Устава, с другой стороны, далее совместно именуемые «Стороны», по отдельности именуемые «Сторона», пришли к согласию и заключили настоящий договор (далее — Договор) о нижеследующем:</w:t>
      </w:r>
    </w:p>
    <w:p>
      <w:pPr>
        <w:pStyle w:val="Normal"/>
        <w:numPr>
          <w:ilvl w:val="0"/>
          <w:numId w:val="12"/>
        </w:numPr>
        <w:spacing w:before="240" w:after="120"/>
        <w:ind w:left="0" w:hanging="0"/>
        <w:rPr>
          <w:sz w:val="22"/>
          <w:szCs w:val="22"/>
        </w:rPr>
      </w:pPr>
      <w:r>
        <w:rPr>
          <w:sz w:val="22"/>
          <w:szCs w:val="22"/>
        </w:rPr>
        <w:t>Предмет договора</w:t>
      </w:r>
    </w:p>
    <w:p>
      <w:pPr>
        <w:pStyle w:val="Normal"/>
        <w:numPr>
          <w:ilvl w:val="1"/>
          <w:numId w:val="12"/>
        </w:numPr>
        <w:spacing w:before="120" w:after="0"/>
        <w:ind w:left="0" w:hanging="0"/>
        <w:jc w:val="both"/>
        <w:rPr/>
      </w:pPr>
      <w:r>
        <w:rPr>
          <w:sz w:val="22"/>
          <w:szCs w:val="22"/>
        </w:rPr>
        <w:t xml:space="preserve">Заказчик поручает, а Исполнитель обязуется выполнить работы по кластеризации страниц сайта Заказчика, </w:t>
      </w:r>
      <w:r>
        <w:rPr>
          <w:bCs/>
          <w:iCs/>
          <w:sz w:val="22"/>
          <w:szCs w:val="22"/>
        </w:rPr>
        <w:t xml:space="preserve">(далее – Сайта) в объеме и на условиях, предусмотренных Договором, </w:t>
      </w:r>
      <w:r>
        <w:rPr>
          <w:sz w:val="22"/>
          <w:szCs w:val="22"/>
        </w:rPr>
        <w:t>Заказчик обязуется эти работы принять и оплатить в соответствии с условиями Договора.</w:t>
      </w:r>
    </w:p>
    <w:p>
      <w:pPr>
        <w:pStyle w:val="Style28"/>
        <w:numPr>
          <w:ilvl w:val="1"/>
          <w:numId w:val="9"/>
        </w:numPr>
        <w:rPr>
          <w:szCs w:val="22"/>
        </w:rPr>
      </w:pPr>
      <w:r>
        <w:rPr>
          <w:szCs w:val="22"/>
        </w:rPr>
        <w:t>Собрать семантическое ядро по следующим тематикам: THEMES</w:t>
      </w:r>
    </w:p>
    <w:p>
      <w:pPr>
        <w:pStyle w:val="Style28"/>
        <w:shd w:val="clear" w:fill="FFFFFF"/>
        <w:ind w:hanging="0"/>
        <w:rPr/>
      </w:pPr>
      <w:r>
        <w:rPr/>
      </w:r>
    </w:p>
    <w:p>
      <w:pPr>
        <w:pStyle w:val="Style28"/>
        <w:numPr>
          <w:ilvl w:val="1"/>
          <w:numId w:val="9"/>
        </w:numPr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Провести кластеризацию запросов по разделам сайта. </w:t>
      </w:r>
    </w:p>
    <w:p>
      <w:pPr>
        <w:pStyle w:val="Style28"/>
        <w:numPr>
          <w:ilvl w:val="1"/>
          <w:numId w:val="9"/>
        </w:numPr>
        <w:rPr/>
      </w:pPr>
      <w:r>
        <w:rPr>
          <w:szCs w:val="22"/>
        </w:rPr>
        <w:t xml:space="preserve">Кластеризация страниц сайта проводится в течение </w:t>
      </w:r>
      <w:r>
        <w:rPr>
          <w:szCs w:val="22"/>
          <w:shd w:fill="FFFFFF" w:val="clear"/>
        </w:rPr>
        <w:t xml:space="preserve">DURATION </w:t>
      </w:r>
      <w:r>
        <w:rPr>
          <w:szCs w:val="22"/>
        </w:rPr>
        <w:t>месяцев с момента поступления денежных средств на расчетный счет Исполнителя. Указанные сроки могут быть изменены в случаях и в порядке, установленных Договором.</w:t>
      </w:r>
    </w:p>
    <w:p>
      <w:pPr>
        <w:pStyle w:val="Style28"/>
        <w:numPr>
          <w:ilvl w:val="1"/>
          <w:numId w:val="9"/>
        </w:numPr>
        <w:rPr/>
      </w:pPr>
      <w:r>
        <w:rPr>
          <w:szCs w:val="22"/>
        </w:rPr>
        <w:t>Прочие работы/услуги предоставляются исключительно с согласия Заказчика на основании дополнительных соглашений к Договору и оплачиваются Заказчиком дополнительно.</w:t>
      </w:r>
    </w:p>
    <w:p>
      <w:pPr>
        <w:pStyle w:val="Normal"/>
        <w:numPr>
          <w:ilvl w:val="0"/>
          <w:numId w:val="12"/>
        </w:numPr>
        <w:spacing w:before="120" w:after="0"/>
        <w:ind w:left="0" w:hanging="0"/>
        <w:rPr>
          <w:sz w:val="22"/>
          <w:szCs w:val="22"/>
        </w:rPr>
      </w:pPr>
      <w:r>
        <w:rPr>
          <w:sz w:val="22"/>
          <w:szCs w:val="22"/>
        </w:rPr>
        <w:t>Обязанности сторон</w:t>
      </w:r>
    </w:p>
    <w:p>
      <w:pPr>
        <w:pStyle w:val="Style28"/>
        <w:numPr>
          <w:ilvl w:val="1"/>
          <w:numId w:val="11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Исполнитель обязуется:</w:t>
      </w:r>
    </w:p>
    <w:p>
      <w:pPr>
        <w:pStyle w:val="Style28"/>
        <w:numPr>
          <w:ilvl w:val="2"/>
          <w:numId w:val="1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Выполнить качественно и в срок полный перечень работ в соответствии с условиями Договора.</w:t>
      </w:r>
    </w:p>
    <w:p>
      <w:pPr>
        <w:pStyle w:val="Style28"/>
        <w:numPr>
          <w:ilvl w:val="2"/>
          <w:numId w:val="12"/>
        </w:numPr>
        <w:spacing w:before="120" w:after="120"/>
        <w:ind w:left="0" w:hanging="0"/>
        <w:rPr/>
      </w:pPr>
      <w:r>
        <w:rPr>
          <w:szCs w:val="22"/>
        </w:rPr>
        <w:t>Получив предоплату начать не позднее, чем через 1 рабочий день выполнение работ, указанных в п.1.2 Договора.</w:t>
      </w:r>
    </w:p>
    <w:p>
      <w:pPr>
        <w:pStyle w:val="Style28"/>
        <w:numPr>
          <w:ilvl w:val="2"/>
          <w:numId w:val="1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В течение 3 (трех) рабочих дней после завершения работы предоставить Заказчику Акт приемки выполненных работ в 2 (двух) экземплярах, заверенных подписью и печатью Исполнителя.</w:t>
      </w:r>
    </w:p>
    <w:p>
      <w:pPr>
        <w:pStyle w:val="Style28"/>
        <w:numPr>
          <w:ilvl w:val="2"/>
          <w:numId w:val="12"/>
        </w:numPr>
        <w:spacing w:before="120" w:after="120"/>
        <w:ind w:left="0" w:hanging="0"/>
        <w:rPr/>
      </w:pPr>
      <w:r>
        <w:rPr>
          <w:szCs w:val="22"/>
        </w:rPr>
        <w:t>Обеспечить соблюдение конфиденциальности полученной от Заказчика информации, использовать ее только в целях, предусмотренных Договором.</w:t>
      </w:r>
    </w:p>
    <w:p>
      <w:pPr>
        <w:pStyle w:val="Style28"/>
        <w:numPr>
          <w:ilvl w:val="1"/>
          <w:numId w:val="11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Заказчик обязуется:</w:t>
      </w:r>
    </w:p>
    <w:p>
      <w:pPr>
        <w:pStyle w:val="Style28"/>
        <w:numPr>
          <w:ilvl w:val="2"/>
          <w:numId w:val="8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Производить оплату своевременно, согласно п.п. 3.1-3.2 Договора.</w:t>
      </w:r>
    </w:p>
    <w:p>
      <w:pPr>
        <w:pStyle w:val="Style28"/>
        <w:numPr>
          <w:ilvl w:val="2"/>
          <w:numId w:val="8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Оказывать Исполнителю любое необходимое содействие в выполнении работ, в частности, предоставлять необходимую информацию, оперативно рассматривать и разрешать возникающие вопросы, подписывать представленные Исполнителем документы. </w:t>
      </w:r>
    </w:p>
    <w:p>
      <w:pPr>
        <w:pStyle w:val="Style28"/>
        <w:numPr>
          <w:ilvl w:val="2"/>
          <w:numId w:val="8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Назначить лицо, уполномоченное на осуществление согласований. Все вопросы, возникающие в ходе исполнения Договора, от имени Заказчика уполномочен решать: CONTACT, телефон: PHONE, электронная почта: EMAIL.</w:t>
      </w:r>
    </w:p>
    <w:p>
      <w:pPr>
        <w:pStyle w:val="Style28"/>
        <w:numPr>
          <w:ilvl w:val="0"/>
          <w:numId w:val="11"/>
        </w:numPr>
        <w:spacing w:before="120" w:after="120"/>
        <w:rPr>
          <w:szCs w:val="22"/>
        </w:rPr>
      </w:pPr>
      <w:r>
        <w:rPr>
          <w:szCs w:val="22"/>
        </w:rPr>
        <w:t>Стоимость и порядок сдачи и приемки выполненных работ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/>
      </w:pPr>
      <w:r>
        <w:rPr>
          <w:szCs w:val="22"/>
        </w:rPr>
        <w:t xml:space="preserve">Стоимость работ по Договору составляет PRICE) рублей за 3000 запросов. В случае, если количество запросов будет превышать минимальное значение, далее, стоимость устанавливается в размере </w:t>
      </w:r>
      <w:r>
        <w:rPr>
          <w:szCs w:val="22"/>
          <w:shd w:fill="FFFFFF" w:val="clear"/>
        </w:rPr>
        <w:t>REQUEST_COST</w:t>
      </w:r>
      <w:r>
        <w:rPr>
          <w:szCs w:val="22"/>
        </w:rPr>
        <w:t xml:space="preserve"> рублей за 1 запрос.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/>
      </w:pPr>
      <w:r>
        <w:rPr>
          <w:szCs w:val="22"/>
        </w:rPr>
        <w:t>Оплата услуг производится Заказчиком предварительно в полном объеме.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Оплата осуществляется в безналичной форме путем перечисления денежных средств на расчетный счет Исполнителя, указанный в Договоре. Датой оплаты считается дата поступления денежных средств на расчетный счет Исполнителя.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/>
      </w:pPr>
      <w:r>
        <w:rPr>
          <w:szCs w:val="22"/>
        </w:rPr>
        <w:t>Факт выполнения работ подтверждается актом приемки выполненных работ. Акт приемки выполненных работ формируется Исполнителем и направляется Заказчику в срок не позднее 3 (трех) дней с момента окончания работ.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/>
      </w:pPr>
      <w:r>
        <w:rPr>
          <w:szCs w:val="22"/>
        </w:rPr>
        <w:t>Заказчик обязан подписать полученный Акт приемки выполненных работ в течение 5 (пяти) рабочих дней после получения, либо в тот же срок направить Исполнителю мотивированный отказ. Замечания должны быть предоставлены в письменном виде и заверены подписью уполномоченного лица Заказчика. Возможно представление замечаний в электронном виде путем их отправки по электронной почте на e-mail Исполнителя (</w:t>
      </w:r>
      <w:hyperlink r:id="rId2">
        <w:r>
          <w:rPr>
            <w:rFonts w:eastAsia="Segoe UI"/>
            <w:szCs w:val="22"/>
          </w:rPr>
          <w:t>letov@</w:t>
        </w:r>
      </w:hyperlink>
      <w:r>
        <w:rPr>
          <w:rStyle w:val="Style13"/>
          <w:szCs w:val="22"/>
        </w:rPr>
        <w:t>promoexpert.</w:t>
      </w:r>
      <w:r>
        <w:rPr>
          <w:rStyle w:val="Style13"/>
          <w:szCs w:val="22"/>
          <w:lang w:val="en-US"/>
        </w:rPr>
        <w:t>pro</w:t>
      </w:r>
      <w:r>
        <w:rPr>
          <w:szCs w:val="22"/>
        </w:rPr>
        <w:t>) Замечания, отправленные по электронной почте, должны содержать Ф.И.О. уполномоченного лица Заказчика). В случае пропуска данного срока, выполненные Исполнителем работы считаются принятыми в объеме, указанном в Акте приемки выполненных работ.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/>
      </w:pPr>
      <w:r>
        <w:rPr>
          <w:szCs w:val="22"/>
        </w:rPr>
        <w:t>Подписанный Акт приемки выполненных работ должен быть возвращен Исполнителю не позднее 5 (пяти) рабочих дней после истечения срока на подписание акта либо на направление мотивированного отказа от подписания Акта выполненных работ.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/>
      </w:pPr>
      <w:r>
        <w:rPr>
          <w:szCs w:val="22"/>
        </w:rPr>
        <w:t>Все дополнительные работы/услуги, не предусмотренные Договором, оформляются отдельными соглашениями и оплачиваются отдельно.</w:t>
      </w:r>
    </w:p>
    <w:p>
      <w:pPr>
        <w:pStyle w:val="Style28"/>
        <w:numPr>
          <w:ilvl w:val="1"/>
          <w:numId w:val="6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В контексте Договора не применяется статья ГК РФ 317.1 «Проценты по денежному обязательству».</w:t>
      </w:r>
    </w:p>
    <w:p>
      <w:pPr>
        <w:pStyle w:val="Style28"/>
        <w:numPr>
          <w:ilvl w:val="0"/>
          <w:numId w:val="11"/>
        </w:numPr>
        <w:spacing w:before="120" w:after="120"/>
        <w:rPr>
          <w:szCs w:val="22"/>
        </w:rPr>
      </w:pPr>
      <w:r>
        <w:rPr>
          <w:szCs w:val="22"/>
        </w:rPr>
        <w:t>Срок действия Договора</w:t>
      </w:r>
    </w:p>
    <w:p>
      <w:pPr>
        <w:pStyle w:val="Style28"/>
        <w:numPr>
          <w:ilvl w:val="1"/>
          <w:numId w:val="7"/>
        </w:numPr>
        <w:spacing w:before="120" w:after="120"/>
        <w:ind w:left="0" w:hanging="0"/>
        <w:rPr/>
      </w:pPr>
      <w:r>
        <w:rPr>
          <w:szCs w:val="22"/>
        </w:rPr>
        <w:t>Договор вступает в силу с момента подписания его Сторонами и заканчивает свое действие по выполнению Сторонами взаимных обязательств.</w:t>
      </w:r>
    </w:p>
    <w:p>
      <w:pPr>
        <w:pStyle w:val="Style28"/>
        <w:numPr>
          <w:ilvl w:val="1"/>
          <w:numId w:val="7"/>
        </w:numPr>
        <w:ind w:left="0" w:hanging="0"/>
        <w:rPr/>
      </w:pPr>
      <w:r>
        <w:rPr>
          <w:szCs w:val="22"/>
        </w:rPr>
        <w:t>Исполнитель вправе в одностороннем порядке увеличить срок выполнения работ, указанный в п.1.3. Договора в случае: несвоевременного предоставления Заказчиком информации, необходимой для проведения работ.</w:t>
      </w:r>
    </w:p>
    <w:p>
      <w:pPr>
        <w:pStyle w:val="Style28"/>
        <w:numPr>
          <w:ilvl w:val="1"/>
          <w:numId w:val="7"/>
        </w:numPr>
        <w:ind w:left="0" w:hanging="0"/>
        <w:rPr>
          <w:szCs w:val="22"/>
        </w:rPr>
      </w:pPr>
      <w:r>
        <w:rPr>
          <w:szCs w:val="22"/>
        </w:rPr>
        <w:t>Каждая из Сторон вправе досрочно расторгнуть Договор путем направления другой Стороне письменного уведомления об этом не позднее, чем за 7 рабочих дней до предполагаемой даты расторжения. До расторжения Договора Стороны обязаны произвести взаиморасчеты.</w:t>
      </w:r>
    </w:p>
    <w:p>
      <w:pPr>
        <w:pStyle w:val="Style28"/>
        <w:numPr>
          <w:ilvl w:val="1"/>
          <w:numId w:val="7"/>
        </w:numPr>
        <w:spacing w:before="120" w:after="120"/>
        <w:ind w:left="0" w:hanging="0"/>
        <w:rPr/>
      </w:pPr>
      <w:r>
        <w:rPr>
          <w:szCs w:val="22"/>
        </w:rPr>
        <w:t>Если при досрочном расторжении Договора оплаченная Заказчиком сумма превышает фактически понесенные затраты Исполнителя, разница между затратами и оплаченной суммой возвращается Заказчику в течение 5 (пяти) рабочих дней. Если при досрочном расторжении Договора фактически понесенные затраты Исполнителя превышают сумму произведенной оплаты, разница между расходами и произведенной оплатой в течение 5 (пяти) рабочих дней доплачивается Исполнителю Заказчиком.</w:t>
      </w:r>
    </w:p>
    <w:p>
      <w:pPr>
        <w:pStyle w:val="Style28"/>
        <w:numPr>
          <w:ilvl w:val="0"/>
          <w:numId w:val="11"/>
        </w:numPr>
        <w:spacing w:before="120" w:after="120"/>
        <w:rPr>
          <w:szCs w:val="22"/>
        </w:rPr>
      </w:pPr>
      <w:r>
        <w:rPr>
          <w:szCs w:val="22"/>
        </w:rPr>
        <w:t>Ответственность сторон</w:t>
      </w:r>
    </w:p>
    <w:p>
      <w:pPr>
        <w:pStyle w:val="Style28"/>
        <w:numPr>
          <w:ilvl w:val="1"/>
          <w:numId w:val="10"/>
        </w:numPr>
        <w:ind w:left="0" w:hanging="0"/>
        <w:rPr/>
      </w:pPr>
      <w:r>
        <w:rPr>
          <w:szCs w:val="22"/>
        </w:rPr>
        <w:t xml:space="preserve">Исполнитель несет ответственность за несвоевременное выполнение работ по Договору в размере 0,1% от суммы Договора за каждый день просрочки. </w:t>
      </w:r>
    </w:p>
    <w:p>
      <w:pPr>
        <w:pStyle w:val="Style28"/>
        <w:numPr>
          <w:ilvl w:val="1"/>
          <w:numId w:val="10"/>
        </w:numPr>
        <w:ind w:left="0" w:hanging="0"/>
        <w:rPr>
          <w:szCs w:val="22"/>
        </w:rPr>
      </w:pPr>
      <w:r>
        <w:rPr>
          <w:szCs w:val="22"/>
        </w:rPr>
        <w:t>Заказчик несет ответственность за несвоевременную оплату по Договору в размере 0,1% от суммы просрочки за каждый день просрочки.</w:t>
      </w:r>
    </w:p>
    <w:p>
      <w:pPr>
        <w:pStyle w:val="Style28"/>
        <w:numPr>
          <w:ilvl w:val="1"/>
          <w:numId w:val="10"/>
        </w:numPr>
        <w:ind w:left="0" w:hanging="0"/>
        <w:rPr/>
      </w:pPr>
      <w:r>
        <w:rPr>
          <w:szCs w:val="22"/>
        </w:rPr>
        <w:t>Исполнитель несет ответственность за предоставление несанкционированного доступа к материалам сайта, с возможностью копирования и иного использования этих материалов, внесения изменений в программный код сайта или в материалы, размещенные на нем, несет ответственность за документально подтвержденные убытки, причиненные таким доступом, в размере, не превышающем 100% от стоимости работ по Договору.</w:t>
      </w:r>
    </w:p>
    <w:p>
      <w:pPr>
        <w:pStyle w:val="Style28"/>
        <w:numPr>
          <w:ilvl w:val="0"/>
          <w:numId w:val="11"/>
        </w:numPr>
        <w:rPr>
          <w:szCs w:val="22"/>
        </w:rPr>
      </w:pPr>
      <w:r>
        <w:rPr>
          <w:szCs w:val="22"/>
        </w:rPr>
        <w:t>Порядок разрешения споров</w:t>
      </w:r>
    </w:p>
    <w:p>
      <w:pPr>
        <w:pStyle w:val="Style28"/>
        <w:numPr>
          <w:ilvl w:val="1"/>
          <w:numId w:val="4"/>
        </w:numPr>
        <w:ind w:left="0" w:hanging="0"/>
        <w:rPr/>
      </w:pPr>
      <w:r>
        <w:rPr>
          <w:szCs w:val="22"/>
        </w:rPr>
        <w:t>Все споры и разногласия, возникающие в процессе исполнения Договора, разрешаются путем переговоров. В случае если Стороны не придут к взаимному соглашению по спорным вопросам, споры будут рассматриваться в Арбитражном суде Свердловской области.</w:t>
      </w:r>
    </w:p>
    <w:p>
      <w:pPr>
        <w:pStyle w:val="Style28"/>
        <w:numPr>
          <w:ilvl w:val="0"/>
          <w:numId w:val="5"/>
        </w:numPr>
        <w:rPr>
          <w:szCs w:val="22"/>
        </w:rPr>
      </w:pPr>
      <w:r>
        <w:rPr>
          <w:szCs w:val="22"/>
        </w:rPr>
        <w:t>Конфиденциальность</w:t>
      </w:r>
    </w:p>
    <w:p>
      <w:pPr>
        <w:pStyle w:val="Style28"/>
        <w:numPr>
          <w:ilvl w:val="1"/>
          <w:numId w:val="2"/>
        </w:numPr>
        <w:ind w:left="0" w:hanging="0"/>
        <w:rPr>
          <w:szCs w:val="22"/>
        </w:rPr>
      </w:pPr>
      <w:r>
        <w:rPr>
          <w:szCs w:val="22"/>
        </w:rPr>
        <w:t>Факт заключения Договора не рассматривается Сторонами как конфиденциальная информация.</w:t>
      </w:r>
    </w:p>
    <w:p>
      <w:pPr>
        <w:pStyle w:val="Style28"/>
        <w:numPr>
          <w:ilvl w:val="1"/>
          <w:numId w:val="2"/>
        </w:numPr>
        <w:ind w:left="0" w:hanging="0"/>
        <w:rPr/>
      </w:pPr>
      <w:r>
        <w:rPr>
          <w:szCs w:val="22"/>
        </w:rPr>
        <w:t>Стороны обязуются не разглашать информацию об условиях Договора, а также прочую информацию, полученную Сторонами в ходе выполнения своих обязательств по Договору, за исключением случаев, когда Сторона обязана предоставить такую информацию в соответствии с законодательством РФ.</w:t>
      </w:r>
    </w:p>
    <w:p>
      <w:pPr>
        <w:pStyle w:val="Style28"/>
        <w:numPr>
          <w:ilvl w:val="0"/>
          <w:numId w:val="5"/>
        </w:numPr>
        <w:rPr>
          <w:szCs w:val="22"/>
        </w:rPr>
      </w:pPr>
      <w:r>
        <w:rPr>
          <w:szCs w:val="22"/>
        </w:rPr>
        <w:t>Дополнительные условия</w:t>
      </w:r>
    </w:p>
    <w:p>
      <w:pPr>
        <w:pStyle w:val="Style28"/>
        <w:numPr>
          <w:ilvl w:val="1"/>
          <w:numId w:val="3"/>
        </w:numPr>
        <w:rPr>
          <w:szCs w:val="22"/>
        </w:rPr>
      </w:pPr>
      <w:r>
        <w:rPr>
          <w:szCs w:val="22"/>
        </w:rPr>
        <w:t>Договор составлен в 2-х экземплярах, имеющих одинаковую юридическую силу, по одному для каждой из Сторон.</w:t>
      </w:r>
    </w:p>
    <w:p>
      <w:pPr>
        <w:pStyle w:val="Style28"/>
        <w:numPr>
          <w:ilvl w:val="1"/>
          <w:numId w:val="3"/>
        </w:numPr>
        <w:rPr/>
      </w:pPr>
      <w:r>
        <w:rPr>
          <w:szCs w:val="22"/>
        </w:rPr>
        <w:t>Все изменения и дополнения в Договор вносятся путем подписания обеими Сторонами дополнительного соглашения об изменениях и дополнениях.</w:t>
      </w:r>
    </w:p>
    <w:p>
      <w:pPr>
        <w:pStyle w:val="Style28"/>
        <w:numPr>
          <w:ilvl w:val="0"/>
          <w:numId w:val="3"/>
        </w:numPr>
        <w:rPr/>
      </w:pPr>
      <w:r>
        <w:rPr/>
        <w:t>Адреса, реквизиты и подписи Сторон</w:t>
      </w:r>
    </w:p>
    <w:tbl>
      <w:tblPr>
        <w:tblW w:w="91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398"/>
      </w:tblGrid>
      <w:tr>
        <w:trPr/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ind w:left="0" w:hanging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Исполнитель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Style28"/>
              <w:widowControl w:val="false"/>
              <w:spacing w:before="0" w:after="120"/>
              <w:ind w:left="0" w:hanging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Заказчик</w:t>
            </w:r>
          </w:p>
        </w:tc>
      </w:tr>
      <w:tr>
        <w:trPr>
          <w:trHeight w:val="3160" w:hRule="atLeast"/>
        </w:trPr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ООО «Промо Эксперт»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Юр. адрес: </w:t>
            </w:r>
            <w:r>
              <w:rPr>
                <w:sz w:val="22"/>
                <w:szCs w:val="22"/>
              </w:rPr>
              <w:t>620072, г. Екатеринбург, ул. 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Почтовый адрес: </w:t>
            </w:r>
            <w:r>
              <w:rPr>
                <w:sz w:val="22"/>
                <w:szCs w:val="22"/>
              </w:rPr>
              <w:t>620072, г. Екатеринбург, ул. 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ИНН/КПП </w:t>
            </w:r>
            <w:r>
              <w:rPr>
                <w:sz w:val="22"/>
                <w:szCs w:val="22"/>
              </w:rPr>
              <w:t>6679023168/ 667001001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р/с: </w:t>
            </w:r>
            <w:r>
              <w:rPr>
                <w:sz w:val="22"/>
                <w:szCs w:val="22"/>
              </w:rPr>
              <w:t>40702810938370000883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b/>
                <w:sz w:val="22"/>
                <w:szCs w:val="22"/>
              </w:rPr>
              <w:t xml:space="preserve">Банк: </w:t>
            </w:r>
            <w:r>
              <w:rPr>
                <w:sz w:val="22"/>
                <w:szCs w:val="22"/>
              </w:rPr>
              <w:t>Филиал «Екатеринбургский» АО «Альфа-Банк»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БИК </w:t>
            </w:r>
            <w:r>
              <w:rPr>
                <w:sz w:val="22"/>
                <w:szCs w:val="22"/>
              </w:rPr>
              <w:t>046577964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ООО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«COMPANY»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Юр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. </w:t>
            </w:r>
            <w:r>
              <w:rPr>
                <w:rFonts w:eastAsia="Arial"/>
                <w:b/>
                <w:sz w:val="22"/>
                <w:szCs w:val="22"/>
              </w:rPr>
              <w:t>адрес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OFF_ADDRESS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Почтовый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/>
                <w:b/>
                <w:sz w:val="22"/>
                <w:szCs w:val="22"/>
              </w:rPr>
              <w:t>адрес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POST_ADDRESS</w:t>
            </w:r>
          </w:p>
          <w:p>
            <w:pPr>
              <w:pStyle w:val="Style28"/>
              <w:widowControl w:val="false"/>
              <w:ind w:left="0" w:hanging="0"/>
              <w:rPr>
                <w:rFonts w:eastAsia="Arial"/>
                <w:b/>
                <w:b/>
                <w:szCs w:val="22"/>
                <w:lang w:val="en-US"/>
              </w:rPr>
            </w:pPr>
            <w:r>
              <w:rPr>
                <w:rFonts w:eastAsia="Arial"/>
                <w:b/>
                <w:szCs w:val="22"/>
              </w:rPr>
              <w:t>ИНН</w:t>
            </w:r>
            <w:r>
              <w:rPr>
                <w:rFonts w:eastAsia="Arial"/>
                <w:b/>
                <w:szCs w:val="22"/>
                <w:lang w:val="en-US"/>
              </w:rPr>
              <w:t>/</w:t>
            </w:r>
            <w:r>
              <w:rPr>
                <w:rFonts w:eastAsia="Arial"/>
                <w:b/>
                <w:szCs w:val="22"/>
              </w:rPr>
              <w:t>КПП</w:t>
            </w:r>
            <w:r>
              <w:rPr>
                <w:rFonts w:eastAsia="Arial"/>
                <w:b/>
                <w:szCs w:val="22"/>
                <w:lang w:val="en-US"/>
              </w:rPr>
              <w:t xml:space="preserve">: </w:t>
            </w:r>
            <w:r>
              <w:rPr>
                <w:rFonts w:eastAsia="Arial"/>
                <w:szCs w:val="22"/>
                <w:lang w:val="en-US"/>
              </w:rPr>
              <w:t>INN/KPP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р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eastAsia="Arial"/>
                <w:b/>
                <w:sz w:val="22"/>
                <w:szCs w:val="22"/>
              </w:rPr>
              <w:t>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/>
                <w:sz w:val="22"/>
                <w:szCs w:val="22"/>
                <w:lang w:val="en-US"/>
              </w:rPr>
              <w:t>BANK_COUNT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Банк</w:t>
            </w:r>
            <w:r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BANK_NAME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к</w:t>
            </w:r>
            <w:r>
              <w:rPr>
                <w:b/>
                <w:sz w:val="22"/>
                <w:szCs w:val="22"/>
                <w:lang w:val="en-US"/>
              </w:rPr>
              <w:t>/</w:t>
            </w:r>
            <w:r>
              <w:rPr>
                <w:b/>
                <w:sz w:val="22"/>
                <w:szCs w:val="22"/>
              </w:rPr>
              <w:t>с</w:t>
            </w:r>
            <w:r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COR_COUNT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БИК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BANK_ID</w:t>
            </w:r>
          </w:p>
          <w:p>
            <w:pPr>
              <w:pStyle w:val="Normal"/>
              <w:widowControl w:val="false"/>
              <w:rPr>
                <w:b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yle28"/>
        <w:ind w:left="360" w:hanging="0"/>
        <w:jc w:val="center"/>
        <w:rPr>
          <w:b/>
          <w:b/>
          <w:szCs w:val="22"/>
        </w:rPr>
      </w:pPr>
      <w:r>
        <w:rPr>
          <w:b/>
          <w:szCs w:val="22"/>
        </w:rPr>
        <w:t>Подписи сторон</w:t>
      </w:r>
    </w:p>
    <w:tbl>
      <w:tblPr>
        <w:tblW w:w="9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534"/>
      </w:tblGrid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Генеральный директор </w:t>
            </w:r>
          </w:p>
          <w:p>
            <w:pPr>
              <w:pStyle w:val="Normal"/>
              <w:widowControl w:val="false"/>
              <w:rPr/>
            </w:pPr>
            <w:r>
              <w:rPr/>
              <w:t>ООО «Промо Эксперт»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Генеральный директор </w:t>
            </w:r>
          </w:p>
          <w:p>
            <w:pPr>
              <w:pStyle w:val="Normal"/>
              <w:widowControl w:val="false"/>
              <w:rPr/>
            </w:pPr>
            <w:r>
              <w:rPr/>
              <w:t>ООО «COMPANY»</w:t>
            </w:r>
          </w:p>
        </w:tc>
      </w:tr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м. п. ____________________ Летов Е.И.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м. п. __________________ </w:t>
            </w:r>
            <w:r>
              <w:rPr>
                <w:sz w:val="22"/>
                <w:szCs w:val="22"/>
              </w:rPr>
              <w:t>SHORT_NAME</w:t>
            </w:r>
          </w:p>
        </w:tc>
      </w:tr>
    </w:tbl>
    <w:p>
      <w:pPr>
        <w:pStyle w:val="Style28"/>
        <w:spacing w:before="0" w:after="120"/>
        <w:ind w:left="360" w:hanging="0"/>
        <w:jc w:val="center"/>
        <w:rPr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900" w:right="746" w:gutter="0" w:header="426" w:top="564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  <w:p>
    <w:pPr>
      <w:pStyle w:val="Style27"/>
      <w:rPr/>
    </w:pPr>
    <w:r>
      <w:rPr/>
      <w:t>__________________Летов Е.И.                                               __________________</w:t>
    </w:r>
    <w:r>
      <w:rPr>
        <w:sz w:val="22"/>
        <w:szCs w:val="22"/>
      </w:rPr>
      <w:t xml:space="preserve"> SHORT_NAME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3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20" w:hanging="1800"/>
      </w:pPr>
      <w:rPr/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4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3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35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0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0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7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75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25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95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7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35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3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20" w:hanging="1800"/>
      </w:pPr>
      <w:rPr/>
    </w:lvl>
  </w:abstractNum>
  <w:abstractNum w:abstractNumId="7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3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20" w:hanging="1800"/>
      </w:pPr>
      <w:rPr/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/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3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35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0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6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7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35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sz w:val="24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40" w:after="120"/>
      <w:jc w:val="both"/>
      <w:outlineLvl w:val="1"/>
    </w:pPr>
    <w:rPr>
      <w:rFonts w:ascii="Arial" w:hAnsi="Arial" w:cs="Arial"/>
      <w:bCs/>
      <w:color w:val="000000"/>
      <w:sz w:val="26"/>
      <w:szCs w:val="26"/>
      <w:lang w:val="ru-RU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>
      <w:sz w:val="22"/>
      <w:szCs w:val="22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b w:val="false"/>
      <w:color w:val="000000"/>
      <w:sz w:val="24"/>
      <w:szCs w:val="24"/>
    </w:rPr>
  </w:style>
  <w:style w:type="character" w:styleId="WW8Num4z2">
    <w:name w:val="WW8Num4z2"/>
    <w:qFormat/>
    <w:rPr>
      <w:b w:val="false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b w:val="false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0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b w:val="false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sz w:val="22"/>
      <w:szCs w:val="22"/>
    </w:rPr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>
      <w:b w:val="false"/>
      <w:sz w:val="24"/>
      <w:szCs w:val="24"/>
    </w:rPr>
  </w:style>
  <w:style w:type="character" w:styleId="WW8Num20z2">
    <w:name w:val="WW8Num20z2"/>
    <w:qFormat/>
    <w:rPr>
      <w:b w:val="false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>
      <w:sz w:val="22"/>
      <w:szCs w:val="22"/>
    </w:rPr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>
      <w:b w:val="false"/>
    </w:rPr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>
      <w:sz w:val="22"/>
      <w:szCs w:val="22"/>
    </w:rPr>
  </w:style>
  <w:style w:type="character" w:styleId="WW8Num38z3">
    <w:name w:val="WW8Num38z3"/>
    <w:qFormat/>
    <w:rPr>
      <w:sz w:val="24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rFonts w:cs="Arial"/>
    </w:rPr>
  </w:style>
  <w:style w:type="character" w:styleId="Style12">
    <w:name w:val="Основной шрифт абзаца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Style14">
    <w:name w:val="Посещённая гиперссылка"/>
    <w:rPr>
      <w:color w:val="800080"/>
      <w:u w:val="single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Нижний колонтитул Знак"/>
    <w:qFormat/>
    <w:rPr>
      <w:sz w:val="24"/>
      <w:szCs w:val="24"/>
    </w:rPr>
  </w:style>
  <w:style w:type="character" w:styleId="Style17">
    <w:name w:val="Верхний колонтитул Знак"/>
    <w:qFormat/>
    <w:rPr>
      <w:sz w:val="24"/>
      <w:szCs w:val="24"/>
    </w:rPr>
  </w:style>
  <w:style w:type="character" w:styleId="21">
    <w:name w:val="Заголовок 2 Знак"/>
    <w:qFormat/>
    <w:rPr>
      <w:rFonts w:ascii="Arial" w:hAnsi="Arial" w:eastAsia="Times New Roman" w:cs="Times New Roman"/>
      <w:bCs/>
      <w:color w:val="000000"/>
      <w:sz w:val="26"/>
      <w:szCs w:val="26"/>
    </w:rPr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2">
    <w:name w:val="Основной шрифт абзаца2"/>
    <w:qFormat/>
    <w:rPr/>
  </w:style>
  <w:style w:type="character" w:styleId="Style18">
    <w:name w:val="Неразрешенное упоминание"/>
    <w:qFormat/>
    <w:rPr>
      <w:color w:val="605E5C"/>
      <w:shd w:fill="E1DFDD" w:val="clear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23">
    <w:name w:val="Основной текст с отступом 2"/>
    <w:basedOn w:val="Normal"/>
    <w:qFormat/>
    <w:pPr>
      <w:ind w:firstLine="720"/>
      <w:jc w:val="both"/>
    </w:pPr>
    <w:rPr>
      <w:rFonts w:ascii="Arial" w:hAnsi="Arial" w:cs="Arial"/>
      <w:sz w:val="20"/>
      <w:szCs w:val="20"/>
    </w:rPr>
  </w:style>
  <w:style w:type="paragraph" w:styleId="ConsPlusNormal">
    <w:name w:val="ConsPlusNormal"/>
    <w:qFormat/>
    <w:pPr>
      <w:widowControl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24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ConsNormal">
    <w:name w:val="ConsNormal"/>
    <w:qFormat/>
    <w:pPr>
      <w:widowControl/>
      <w:suppressAutoHyphens w:val="true"/>
      <w:bidi w:val="0"/>
      <w:spacing w:before="0" w:after="0"/>
      <w:ind w:right="19772"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zh-CN" w:bidi="ar-SA"/>
    </w:rPr>
  </w:style>
  <w:style w:type="paragraph" w:styleId="Style25">
    <w:name w:val="Текст примечания"/>
    <w:basedOn w:val="Normal"/>
    <w:qFormat/>
    <w:pPr/>
    <w:rPr>
      <w:sz w:val="20"/>
      <w:szCs w:val="20"/>
    </w:rPr>
  </w:style>
  <w:style w:type="paragraph" w:styleId="ConsPlusNonformat">
    <w:name w:val="ConsPlusNonformat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Style26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uppressAutoHyphens w:val="true"/>
    </w:pPr>
    <w:rPr>
      <w:lang w:val="ru-RU"/>
    </w:rPr>
  </w:style>
  <w:style w:type="paragraph" w:styleId="Style28">
    <w:name w:val="Абзац списка"/>
    <w:basedOn w:val="Normal"/>
    <w:qFormat/>
    <w:pPr>
      <w:widowControl w:val="false"/>
      <w:spacing w:before="0" w:after="120"/>
      <w:ind w:left="720" w:hanging="0"/>
      <w:jc w:val="both"/>
    </w:pPr>
    <w:rPr>
      <w:sz w:val="22"/>
    </w:rPr>
  </w:style>
  <w:style w:type="paragraph" w:styleId="Style29">
    <w:name w:val="Header"/>
    <w:basedOn w:val="Normal"/>
    <w:pPr/>
    <w:rPr>
      <w:lang w:val="ru-RU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tov@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70</TotalTime>
  <Application>LibreOffice/7.3.7.2$Linux_X86_64 LibreOffice_project/30$Build-2</Application>
  <AppVersion>15.0000</AppVersion>
  <Pages>3</Pages>
  <Words>988</Words>
  <Characters>6793</Characters>
  <CharactersWithSpaces>7728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2021-07-07T11:16:00Z</dcterms:created>
  <dc:creator>Сергей Амиров</dc:creator>
  <dc:description/>
  <dc:language>ru-RU</dc:language>
  <cp:lastModifiedBy/>
  <cp:lastPrinted>2012-11-01T11:57:00Z</cp:lastPrinted>
  <dcterms:modified xsi:type="dcterms:W3CDTF">2023-07-28T14:37:30Z</dcterms:modified>
  <cp:revision>12</cp:revision>
  <dc:subject/>
  <dc:title>ДОГОВОР ОКАЗАНИЯ УСЛУГ № 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