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563EB"/>
          <w:sz w:val="36"/>
        </w:rPr>
        <w:t>AI-ADES Phase 5·6 작업 정리 및 고객사 미팅 협의·확인사항</w:t>
      </w:r>
    </w:p>
    <w:p>
      <w:r>
        <w:rPr>
          <w:color w:val="555555"/>
          <w:sz w:val="22"/>
        </w:rPr>
        <w:t>CO₂ 레이저 Glass+Film 적층소재 절단 — 최적 레이저조건 자동탐색 시스템</w:t>
      </w:r>
    </w:p>
    <w:p>
      <w:r>
        <w:rPr>
          <w:color w:val="888888"/>
          <w:sz w:val="18"/>
        </w:rPr>
        <w:t>작성일: 2026-06-13  ·  대상: 고객사 설치/연동 협의  ·  문서버전: v1.0</w:t>
      </w:r>
    </w:p>
    <w:p/>
    <w:p>
      <w:pPr>
        <w:pStyle w:val="Heading1"/>
      </w:pPr>
      <w:r>
        <w:t>1. 문서 목적</w:t>
      </w:r>
    </w:p>
    <w:p>
      <w:r>
        <w:t>본 문서는 (1) 앞으로 남은 Phase 5(고객사 설치 테스트)·Phase 6(설비 연동)의 할 일을 정리하고, (2) 고객사 미팅에서 반드시 협의·확인해야 할 사항을 체크리스트로 제공하기 위한 것이다. 미팅 시 본 체크리스트를 함께 보며 항목별로 확정한다.</w:t>
      </w:r>
    </w:p>
    <w:p>
      <w:pPr>
        <w:pStyle w:val="Heading1"/>
      </w:pPr>
      <w:r>
        <w:t>2. 현재 진행 상황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상태</w:t>
            </w:r>
          </w:p>
        </w:tc>
      </w:tr>
      <w:tr>
        <w:tc>
          <w:tcPr>
            <w:tcW w:type="dxa" w:w="2880"/>
          </w:tcPr>
          <w:p>
            <w:r>
              <w:t>Phase 0</w:t>
            </w:r>
          </w:p>
        </w:tc>
        <w:tc>
          <w:tcPr>
            <w:tcW w:type="dxa" w:w="2880"/>
          </w:tcPr>
          <w:p>
            <w:r>
              <w:t>환경 세팅, Docker, DB 스키마</w:t>
            </w:r>
          </w:p>
        </w:tc>
        <w:tc>
          <w:tcPr>
            <w:tcW w:type="dxa" w:w="2880"/>
          </w:tcPr>
          <w:p>
            <w:r>
              <w:t>완료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Data Prep Agent, Excel 파싱</w:t>
            </w:r>
          </w:p>
        </w:tc>
        <w:tc>
          <w:tcPr>
            <w:tcW w:type="dxa" w:w="2880"/>
          </w:tcPr>
          <w:p>
            <w:r>
              <w:t>완료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Modeling Agent, XGBoost + SHAP</w:t>
            </w:r>
          </w:p>
        </w:tc>
        <w:tc>
          <w:tcPr>
            <w:tcW w:type="dxa" w:w="2880"/>
          </w:tcPr>
          <w:p>
            <w:r>
              <w:t>완료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Execution Agent, Bayesian Opt, 승인/레시피, Admin</w:t>
            </w:r>
          </w:p>
        </w:tc>
        <w:tc>
          <w:tcPr>
            <w:tcW w:type="dxa" w:w="2880"/>
          </w:tcPr>
          <w:p>
            <w:r>
              <w:t>완료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React UI + Admin Console (UI 마무리 중)</w:t>
            </w:r>
          </w:p>
        </w:tc>
        <w:tc>
          <w:tcPr>
            <w:tcW w:type="dxa" w:w="2880"/>
          </w:tcPr>
          <w:p>
            <w:r>
              <w:t>진행 중</w:t>
            </w:r>
          </w:p>
        </w:tc>
      </w:tr>
      <w:tr>
        <w:tc>
          <w:tcPr>
            <w:tcW w:type="dxa" w:w="2880"/>
          </w:tcPr>
          <w:p>
            <w:r>
              <w:t>Phase 5</w:t>
            </w:r>
          </w:p>
        </w:tc>
        <w:tc>
          <w:tcPr>
            <w:tcW w:type="dxa" w:w="2880"/>
          </w:tcPr>
          <w:p>
            <w:r>
              <w:t>고객사 워크스테이션 2대 설치 테스트</w:t>
            </w:r>
          </w:p>
        </w:tc>
        <w:tc>
          <w:tcPr>
            <w:tcW w:type="dxa" w:w="2880"/>
          </w:tcPr>
          <w:p>
            <w:r>
              <w:t>대기 (본 문서)</w:t>
            </w:r>
          </w:p>
        </w:tc>
      </w:tr>
      <w:tr>
        <w:tc>
          <w:tcPr>
            <w:tcW w:type="dxa" w:w="2880"/>
          </w:tcPr>
          <w:p>
            <w:r>
              <w:t>Phase 6</w:t>
            </w:r>
          </w:p>
        </w:tc>
        <w:tc>
          <w:tcPr>
            <w:tcW w:type="dxa" w:w="2880"/>
          </w:tcPr>
          <w:p>
            <w:r>
              <w:t>CO₂ 레이저 설비 연동 + 실데이터 학습</w:t>
            </w:r>
          </w:p>
        </w:tc>
        <w:tc>
          <w:tcPr>
            <w:tcW w:type="dxa" w:w="2880"/>
          </w:tcPr>
          <w:p>
            <w:r>
              <w:t>대기 (본 문서)</w:t>
            </w:r>
          </w:p>
        </w:tc>
      </w:tr>
    </w:tbl>
    <w:p/>
    <w:p>
      <w:r>
        <w:rPr>
          <w:i/>
          <w:color w:val="8A4B00"/>
        </w:rPr>
        <w:t>※ Phase 5·6의 상당 부분은 고객사 하드웨어/현장이 있어야 검증 가능하다. 개발 PC(Surface)에서 미리 만들 수 있는 것은 배포 패키징(아래 3.1)에 한정된다.</w:t>
      </w:r>
    </w:p>
    <w:p>
      <w:pPr>
        <w:pStyle w:val="Heading1"/>
      </w:pPr>
      <w:r>
        <w:t>3. Phase 5 — 고객사 설치 테스트</w:t>
      </w:r>
    </w:p>
    <w:p>
      <w:r>
        <w:t>목표: 고객 워크스테이션 2대 설치 + GPU 환경 검증. 완료 기준은 고객사 하드웨어에서 E2E(실험조건→AI제안→승인→결과보고) 루프 3회 완주.</w:t>
      </w:r>
    </w:p>
    <w:p>
      <w:pPr>
        <w:pStyle w:val="Heading2"/>
      </w:pPr>
      <w:r>
        <w:t>3.1 개발측 사전 준비물 (지금 개발 PC에서 제작 가능)</w:t>
      </w:r>
    </w:p>
    <w:p>
      <w:r>
        <w:t>☐  docker-compose.prod.yml — 운영용 compose (GPU_ENABLED 옵션 포함)</w:t>
      </w:r>
    </w:p>
    <w:p>
      <w:r>
        <w:t>☐  install.bat — Windows 원클릭 설치 스크립트</w:t>
      </w:r>
    </w:p>
    <w:p>
      <w:r>
        <w:t>☐  env.check.py — CUDA 인식 / 포트 충돌 / 메모리 사전 점검 스크립트</w:t>
      </w:r>
    </w:p>
    <w:p>
      <w:r>
        <w:t>☐  오프라인 설치 대비: Docker 이미지 사전 빌드·반입 패키지(인터넷 차단 환경 시)</w:t>
      </w:r>
    </w:p>
    <w:p>
      <w:r>
        <w:t>☐  설치 가이드 문서(설치 순서·트러블슈팅)</w:t>
      </w:r>
    </w:p>
    <w:p>
      <w:pPr>
        <w:pStyle w:val="Heading2"/>
      </w:pPr>
      <w:r>
        <w:t>3.2 현장 설치 작업 (고객사 하드웨어 필요)</w:t>
      </w:r>
    </w:p>
    <w:p>
      <w:r>
        <w:t>[설계해석 워크스테이션: Xeon W5-2545 + RTX PRO 4000 Blackwell]</w:t>
      </w:r>
    </w:p>
    <w:p>
      <w:r>
        <w:t>☐  NVIDIA Driver 570+ 설치 확인</w:t>
      </w:r>
    </w:p>
    <w:p>
      <w:r>
        <w:t>☐  Docker GPU 패스스루 (NVIDIA Container Toolkit) 구성</w:t>
      </w:r>
    </w:p>
    <w:p>
      <w:r>
        <w:t>☐  PyTorch GPU 모드 재구성 (LSTM 학습 속도 향상)</w:t>
      </w:r>
    </w:p>
    <w:p>
      <w:r>
        <w:t>☐  docker-compose.prod.yml 전체 기동</w:t>
      </w:r>
    </w:p>
    <w:p>
      <w:r>
        <w:t>☐  GPU 인식 확인 (nvidia-smi / 컨테이너 내부)</w:t>
      </w:r>
    </w:p>
    <w:p>
      <w:r>
        <w:t>[CPU 특화 워크스테이션: ULTRA 9 285]</w:t>
      </w:r>
    </w:p>
    <w:p>
      <w:r>
        <w:t>☐  Kafka / InfluxDB / PostgreSQL 전담 구동</w:t>
      </w:r>
    </w:p>
    <w:p>
      <w:r>
        <w:t>☐  두 워크스테이션 간 내부 네트워크 연결 확인</w:t>
      </w:r>
    </w:p>
    <w:p>
      <w:r>
        <w:t>☐  Excel POC 데이터로 Phase 1~4 재검증</w:t>
      </w:r>
    </w:p>
    <w:p>
      <w:pPr>
        <w:pStyle w:val="Heading2"/>
      </w:pPr>
      <w:r>
        <w:t>3.3 완료 기준</w:t>
      </w:r>
    </w:p>
    <w:p>
      <w:pPr>
        <w:pStyle w:val="ListBullet"/>
      </w:pPr>
      <w:r>
        <w:t>고객사 H/W에서 E2E 루프 3회 완주 성공</w:t>
      </w:r>
    </w:p>
    <w:p>
      <w:pPr>
        <w:pStyle w:val="Heading1"/>
      </w:pPr>
      <w:r>
        <w:t>4. Phase 6 — 설비 연동 (고객사 현장)</w:t>
      </w:r>
    </w:p>
    <w:p>
      <w:r>
        <w:t>목표: 실제 CO₂ 레이저 설비 연동 + Plasma 시계열 학습 + 실시간 운영. 완료 기준은 실설비에서 Auto DOE 5~7회 내 OK 수렴 실증 및 납품 시연 완료.</w:t>
      </w:r>
    </w:p>
    <w:p>
      <w:pPr>
        <w:pStyle w:val="Heading2"/>
      </w:pPr>
      <w:r>
        <w:t>4.1 현장 실사 확인 사항</w:t>
      </w:r>
    </w:p>
    <w:p>
      <w:r>
        <w:t>☐  레이저 설비 통신 인터페이스 종류 (OPC-UA / RS-232 / Ethernet / 설비 전용 API)</w:t>
      </w:r>
    </w:p>
    <w:p>
      <w:r>
        <w:t>☐  실시간으로 읽을 수 있는 파라미터 목록 (Speed/Defocus/Frequency/Power 실시간 노출 여부)</w:t>
      </w:r>
    </w:p>
    <w:p>
      <w:r>
        <w:t>☐  가공 완료 후 Kerf/Depth 자동 측정 장치 유무 (없으면 운영자 수동 입력 UI 사용)</w:t>
      </w:r>
    </w:p>
    <w:p>
      <w:r>
        <w:t>☐  Plasma sensor ZIP 데이터 포맷 확인 (250kHz CSV: Index;Time;Area;Plasma;P-Raw;Temp;T-Raw;Refl;R-Raw)</w:t>
      </w:r>
    </w:p>
    <w:p>
      <w:r>
        <w:t>☐  공장 네트워크 IP 대역 / 방화벽 포트 허용 정책</w:t>
      </w:r>
    </w:p>
    <w:p>
      <w:pPr>
        <w:pStyle w:val="Heading2"/>
      </w:pPr>
      <w:r>
        <w:t>4.2 개발 작업</w:t>
      </w:r>
    </w:p>
    <w:p>
      <w:r>
        <w:t>☐  설비 통신 드라이버 개발 (OPC-UA 또는 해당 프로토콜)</w:t>
      </w:r>
    </w:p>
    <w:p>
      <w:r>
        <w:t>☐  Plasma sensor ZIP 파서 → plasma_timeseries 테이블 적재</w:t>
      </w:r>
    </w:p>
    <w:p>
      <w:r>
        <w:t>☐  LSTM-Autoencoder 학습 (Plasma 시계열 이상감지, M1/M2/Blank 구간 자동 분리, F1 ≥ 0.80 목표)</w:t>
      </w:r>
    </w:p>
    <w:p>
      <w:r>
        <w:t>☐  실데이터 기반 모델 재학습 (POC Excel → 실설비 데이터 점진 교체)</w:t>
      </w:r>
    </w:p>
    <w:p>
      <w:r>
        <w:t>☐  Airflow DAG: 50건 누적 시 자동 재학습 트리거</w:t>
      </w:r>
    </w:p>
    <w:p>
      <w:r>
        <w:t>☐  24시간 연속 수집 테스트</w:t>
      </w:r>
    </w:p>
    <w:p>
      <w:r>
        <w:t>☐  납품 시연 리허설 3회 → 최종 시연</w:t>
      </w:r>
    </w:p>
    <w:p>
      <w:pPr>
        <w:pStyle w:val="Heading2"/>
      </w:pPr>
      <w:r>
        <w:t>4.3 완료 기준</w:t>
      </w:r>
    </w:p>
    <w:p>
      <w:pPr>
        <w:pStyle w:val="ListBullet"/>
      </w:pPr>
      <w:r>
        <w:t>실설비 Auto DOE 5~7회 내 OK 수렴 실증</w:t>
      </w:r>
    </w:p>
    <w:p>
      <w:pPr>
        <w:pStyle w:val="ListBullet"/>
      </w:pPr>
      <w:r>
        <w:t>납품 시연 완료</w:t>
      </w:r>
    </w:p>
    <w:p>
      <w:pPr>
        <w:pStyle w:val="Heading1"/>
      </w:pPr>
      <w:r>
        <w:t>5. 고객사 현장 현황 파악(As-Is) 및 협의 체크리스트</w:t>
      </w:r>
    </w:p>
    <w:p>
      <w:r>
        <w:t>미팅에서 아래 항목을 순서대로 확인하고, 각 항목의 응답·결정값을 비고란(현장 메모)에 기록한다. 특히 5.1~5.2(설비)와 5.5(데이터 취득), 5.7(개발기간/운영), 5.8(발전계획)은 현장 실물을 보며 구체적으로 확인한다.</w:t>
      </w:r>
    </w:p>
    <w:p>
      <w:pPr>
        <w:pStyle w:val="Heading2"/>
      </w:pPr>
      <w:r>
        <w:t>5.1 CO₂ 레이저 가공기 (설비 현황)</w:t>
      </w:r>
    </w:p>
    <w:p>
      <w:r>
        <w:t>☐  제조사 / 모델명 / 연식 / 설치 대수</w:t>
      </w:r>
    </w:p>
    <w:p>
      <w:r>
        <w:t>☐  레이저 종류·출력 사양 (CO₂ 출력 W, 발진 방식, 펄스/CW)</w:t>
      </w:r>
    </w:p>
    <w:p>
      <w:r>
        <w:t>☐  제어기(컨트롤러) 종류·제조사 (PLC / CNC / 설비 전용 제어기)</w:t>
      </w:r>
    </w:p>
    <w:p>
      <w:r>
        <w:t>☐  운전 파라미터 설정 방식 (HMI 수동 입력 / 레시피 / 외부 통신)</w:t>
      </w:r>
    </w:p>
    <w:p>
      <w:r>
        <w:t>☐  현재 조건 탐색 방법 (수동 시행착오 횟수, 1회 가공·측정 소요 시간)</w:t>
      </w:r>
    </w:p>
    <w:p>
      <w:r>
        <w:t>☐  설비 가동률 / 일일 가공 건수 / 24시간 가동 여부</w:t>
      </w:r>
    </w:p>
    <w:p>
      <w:pPr>
        <w:pStyle w:val="Heading2"/>
      </w:pPr>
      <w:r>
        <w:t>5.2 설비 인터페이스 / 연동 방식 (Phase 6 핵심)</w:t>
      </w:r>
    </w:p>
    <w:p>
      <w:r>
        <w:t>☐  통신 인터페이스 종류 (OPC-UA / RS-232 / Ethernet/IP / Modbus / 설비 전용 API)</w:t>
      </w:r>
    </w:p>
    <w:p>
      <w:r>
        <w:t>☐  제어 통신 규격 문서·SDK·태그맵 제공 가능 여부</w:t>
      </w:r>
    </w:p>
    <w:p>
      <w:r>
        <w:t>☐  실시간 읽기 가능 파라미터 목록 및 갱신 주기 (Speed/Defocus/Frequency/Power)</w:t>
      </w:r>
    </w:p>
    <w:p>
      <w:r>
        <w:t>☐  AI 제안 조건을 설비에 '직접 쓰기' 가능한가, 아니면 운영자 수동 입력인가 (제어 권한 범위)</w:t>
      </w:r>
    </w:p>
    <w:p>
      <w:r>
        <w:t>☐  Kerf/Depth 자동 측정 장치 유무·종류 — 없으면 운영자 수동 입력(현 승인 화면 활용)</w:t>
      </w:r>
    </w:p>
    <w:p>
      <w:r>
        <w:t>☐  Plasma sensor 장착 여부 / 데이터 실샘플 1건 확보 (포맷·컬럼 검증용)</w:t>
      </w:r>
    </w:p>
    <w:p>
      <w:r>
        <w:t>☐  설비 비상정지·인터락 연동 필요 여부 및 안전 요구사항</w:t>
      </w:r>
    </w:p>
    <w:p>
      <w:pPr>
        <w:pStyle w:val="Heading2"/>
      </w:pPr>
      <w:r>
        <w:t>5.3 준비된 AI 실행 장비 (하드웨어 실물 확인)</w:t>
      </w:r>
    </w:p>
    <w:p>
      <w:r>
        <w:t>☐  워크스테이션 종류·대수·실물 스펙 (CPU / GPU 모델 / RAM / 디스크)</w:t>
      </w:r>
    </w:p>
    <w:p>
      <w:r>
        <w:t>☐  GPU 드라이버 버전(NVIDIA 570+), CUDA, OS(Windows 11) 버전</w:t>
      </w:r>
    </w:p>
    <w:p>
      <w:r>
        <w:t>☐  관리자 권한 / Docker Desktop·NVIDIA Container Toolkit 설치 가능 여부</w:t>
      </w:r>
    </w:p>
    <w:p>
      <w:r>
        <w:t>☐  설치 장소 환경 (설비와의 거리, 분진/온습도, 전원/UPS)</w:t>
      </w:r>
    </w:p>
    <w:p>
      <w:r>
        <w:t>☐  설비-AI장비 물리적 연결 경로 (유선 LAN / 산업용 스위치 등)</w:t>
      </w:r>
    </w:p>
    <w:p>
      <w:pPr>
        <w:pStyle w:val="Heading2"/>
      </w:pPr>
      <w:r>
        <w:t>5.4 네트워크 / 보안</w:t>
      </w:r>
    </w:p>
    <w:p>
      <w:r>
        <w:t>☐  사용 포트 충돌 점검: 8010, 8011, 8012, 5173, 8086, 5000, 3010, 9092, 5432, 6333, 11434</w:t>
      </w:r>
    </w:p>
    <w:p>
      <w:r>
        <w:t>☐  두 워크스테이션 간 통신 가능 여부 (IP 대역/서브넷/방화벽)</w:t>
      </w:r>
    </w:p>
    <w:p>
      <w:r>
        <w:t>☐  인터넷 연결 여부 (오프라인이면 Docker 이미지 사전 반입 필요)</w:t>
      </w:r>
    </w:p>
    <w:p>
      <w:r>
        <w:t>☐  LLM 사용 정책: 로컬(Ollama)만 vs 외부 API 허용 — 가공데이터 외부 반출 가능 여부</w:t>
      </w:r>
    </w:p>
    <w:p>
      <w:r>
        <w:t>☐  공장 보안 정책 / 계정·권한 / 데이터 보관·백업 위치 규정</w:t>
      </w:r>
    </w:p>
    <w:p>
      <w:pPr>
        <w:pStyle w:val="Heading2"/>
      </w:pPr>
      <w:r>
        <w:t>5.5 데이터 현황 및 학습 데이터 취득 방법</w:t>
      </w:r>
    </w:p>
    <w:p>
      <w:r>
        <w:t>☐  기존 보유 실험 데이터 양·형식 (Excel / DB / 종이대장) 및 제공 가능 여부</w:t>
      </w:r>
    </w:p>
    <w:p>
      <w:r>
        <w:t>☐  POC 외 추가 과거 데이터 규모 (조건-결과 쌍 건수)</w:t>
      </w:r>
    </w:p>
    <w:p>
      <w:r>
        <w:t>☐  신규 데이터 취득 방식: 가공 1건당 자동 적재 가능? 운영자 수동 입력?</w:t>
      </w:r>
    </w:p>
    <w:p>
      <w:r>
        <w:t>☐  결과 라벨링(판정) 주체·기준 (검사자 육안 / 측정장비 자동)</w:t>
      </w:r>
    </w:p>
    <w:p>
      <w:r>
        <w:t>☐  측정 자동화 수준 (Kerf/Depth/Defect 측정의 자동·반자동·수동)</w:t>
      </w:r>
    </w:p>
    <w:p>
      <w:r>
        <w:t>☐  데이터 품질·이상치 관리 기준, 측정 누락·재현성 이슈</w:t>
      </w:r>
    </w:p>
    <w:p>
      <w:r>
        <w:t>☐  데이터 누적 속도 — 자동 재학습 트리거(50건) 도달 예상 주기</w:t>
      </w:r>
    </w:p>
    <w:p>
      <w:pPr>
        <w:pStyle w:val="Heading2"/>
      </w:pPr>
      <w:r>
        <w:t>5.6 소재 / 판정 기준 / 탐색 공간</w:t>
      </w:r>
    </w:p>
    <w:p>
      <w:r>
        <w:t>☐  실소재 조합·두께 범위 (M1=Glass, M2=Film) — 학습 데이터 범위와 일치 여부</w:t>
      </w:r>
    </w:p>
    <w:p>
      <w:r>
        <w:t>☐  판정 기준 확정: OK = 0μm 초과 ~ 25μm 이하 유지 여부, 미가공/과가공/NG·Defect 정의 합의</w:t>
      </w:r>
    </w:p>
    <w:p>
      <w:r>
        <w:t>☐  탐색 공간 확정: speed[200,500,1000] / defocus[0~4] / frequency[100,200] / power[2.8~59.8] — 실설비와 일치 여부</w:t>
      </w:r>
    </w:p>
    <w:p>
      <w:r>
        <w:t>☐  소재 종류 추가·변경 가능성 (향후 다른 소재 적용 계획)</w:t>
      </w:r>
    </w:p>
    <w:p>
      <w:pPr>
        <w:pStyle w:val="Heading2"/>
      </w:pPr>
      <w:r>
        <w:t>5.7 개발 기간 / 예산 / 운영 방법</w:t>
      </w:r>
    </w:p>
    <w:p>
      <w:r>
        <w:t>☐  희망 개발 기간·납기 및 주요 마일스톤</w:t>
      </w:r>
    </w:p>
    <w:p>
      <w:r>
        <w:t>☐  계약 범위 (설치 / 설비연동 / 유지보수 포함 여부) 및 예산 규모</w:t>
      </w:r>
    </w:p>
    <w:p>
      <w:r>
        <w:t>☐  운영 주체: 고객 자체 운영 vs 위탁 운영</w:t>
      </w:r>
    </w:p>
    <w:p>
      <w:r>
        <w:t>☐  운영 인력 수·교대, 가동 시간(24시간 여부), 사용 권한 레벨(운영자/관리자)</w:t>
      </w:r>
    </w:p>
    <w:p>
      <w:r>
        <w:t>☐  Human-in-the-Loop 승인 주체 및 책임 범위</w:t>
      </w:r>
    </w:p>
    <w:p>
      <w:r>
        <w:t>☐  유지보수·장애대응 SLA, 원격 지원 허용 여부</w:t>
      </w:r>
    </w:p>
    <w:p>
      <w:r>
        <w:t>☐  운영자 교육·매뉴얼 제공 범위</w:t>
      </w:r>
    </w:p>
    <w:p>
      <w:pPr>
        <w:pStyle w:val="Heading2"/>
      </w:pPr>
      <w:r>
        <w:t>5.8 향후 시스템 발전 계획 (To-Be 로드맵)</w:t>
      </w:r>
    </w:p>
    <w:p>
      <w:r>
        <w:t>☐  적용 확대 대상: 다른 소재/두께/제품군 추가</w:t>
      </w:r>
    </w:p>
    <w:p>
      <w:r>
        <w:t>☐  다중 설비 동시 운영 / 생산라인 확장 계획</w:t>
      </w:r>
    </w:p>
    <w:p>
      <w:r>
        <w:t>☐  모델 고도화: 실데이터 누적 재학습, 신규 센서(Plasma 등) 활용 범위</w:t>
      </w:r>
    </w:p>
    <w:p>
      <w:r>
        <w:t>☐  상위 시스템 연동 (MES / ERP / 품질관리시스템)</w:t>
      </w:r>
    </w:p>
    <w:p>
      <w:r>
        <w:t>☐  원격 모니터링·클라우드 확장, 다지점 운영 가능성</w:t>
      </w:r>
    </w:p>
    <w:p>
      <w:r>
        <w:t>☐  장기 목표 (완전 무인 자동 최적화 수준, 적용 KPI)</w:t>
      </w:r>
    </w:p>
    <w:p>
      <w:pPr>
        <w:pStyle w:val="Heading2"/>
      </w:pPr>
      <w:r>
        <w:t>5.9 일정 / 납품 / 검수</w:t>
      </w:r>
    </w:p>
    <w:p>
      <w:r>
        <w:t>☐  설치 일정 및 현장 방문 가능일 확정</w:t>
      </w:r>
    </w:p>
    <w:p>
      <w:r>
        <w:t>☐  Phase 5 완료 기준(고객 H/W에서 E2E 3회 완주) 합의</w:t>
      </w:r>
    </w:p>
    <w:p>
      <w:r>
        <w:t>☐  Phase 6 완료 기준(실설비 Auto DOE 5~7회 OK 수렴 + 시연) 합의</w:t>
      </w:r>
    </w:p>
    <w:p>
      <w:r>
        <w:t>☐  납품 시연 일정·시나리오·참석자 확정</w:t>
      </w:r>
    </w:p>
    <w:p>
      <w:r>
        <w:t>☐  검수 기준 및 인수인계 범위</w:t>
      </w:r>
    </w:p>
    <w:p>
      <w:pPr>
        <w:pStyle w:val="Heading1"/>
      </w:pPr>
      <w:r>
        <w:t>6. 미팅에서 반드시 결정해야 할 핵심 사항 (요약)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결정 사항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왜 중요한가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설비 통신 방식 (OPC-UA/RS-232/Ethernet/API) 및 문서·SDK 제공</w:t>
            </w:r>
          </w:p>
        </w:tc>
        <w:tc>
          <w:tcPr>
            <w:tcW w:type="dxa" w:w="2880"/>
          </w:tcPr>
          <w:p>
            <w:r>
              <w:t>Phase 6 드라이버 개발 범위·기간을 좌우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AI 조건 설비 직접 쓰기 vs 운영자 수동 입력</w:t>
            </w:r>
          </w:p>
        </w:tc>
        <w:tc>
          <w:tcPr>
            <w:tcW w:type="dxa" w:w="2880"/>
          </w:tcPr>
          <w:p>
            <w:r>
              <w:t>자동화 수준·안전 인터락 설계 결정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Kerf/Depth 자동 측정 유무</w:t>
            </w:r>
          </w:p>
        </w:tc>
        <w:tc>
          <w:tcPr>
            <w:tcW w:type="dxa" w:w="2880"/>
          </w:tcPr>
          <w:p>
            <w:r>
              <w:t>결과 수집 자동화 가능 여부, UI 변경 여부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학습 데이터 취득 방식 (과거 보유량 + 신규 수집 자동화)</w:t>
            </w:r>
          </w:p>
        </w:tc>
        <w:tc>
          <w:tcPr>
            <w:tcW w:type="dxa" w:w="2880"/>
          </w:tcPr>
          <w:p>
            <w:r>
              <w:t>모델 정확도·재학습 주기·자동화 범위 결정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AI 실행 장비 실물 스펙·GPU 환경</w:t>
            </w:r>
          </w:p>
        </w:tc>
        <w:tc>
          <w:tcPr>
            <w:tcW w:type="dxa" w:w="2880"/>
          </w:tcPr>
          <w:p>
            <w:r>
              <w:t>설치 가능성·성능(LSTM 학습 속도) 좌우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LLM 외부 API 허용 여부</w:t>
            </w:r>
          </w:p>
        </w:tc>
        <w:tc>
          <w:tcPr>
            <w:tcW w:type="dxa" w:w="2880"/>
          </w:tcPr>
          <w:p>
            <w:r>
              <w:t>데이터 보안 정책 / 로컬 Ollama 의존 여부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판정 기준·탐색 공간 실설비 일치</w:t>
            </w:r>
          </w:p>
        </w:tc>
        <w:tc>
          <w:tcPr>
            <w:tcW w:type="dxa" w:w="2880"/>
          </w:tcPr>
          <w:p>
            <w:r>
              <w:t>모델 재학습·재보정 필요 범위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개발 기간 / 예산 / 운영 주체</w:t>
            </w:r>
          </w:p>
        </w:tc>
        <w:tc>
          <w:tcPr>
            <w:tcW w:type="dxa" w:w="2880"/>
          </w:tcPr>
          <w:p>
            <w:r>
              <w:t>계약·납기·유지보수 스코프 확정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향후 발전 계획 우선순위</w:t>
            </w:r>
          </w:p>
        </w:tc>
        <w:tc>
          <w:tcPr>
            <w:tcW w:type="dxa" w:w="2880"/>
          </w:tcPr>
          <w:p>
            <w:r>
              <w:t>확장성 고려한 아키텍처 설계 방향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오프라인 설치 여부 / 설치·시연 일정</w:t>
            </w:r>
          </w:p>
        </w:tc>
        <w:tc>
          <w:tcPr>
            <w:tcW w:type="dxa" w:w="2880"/>
          </w:tcPr>
          <w:p>
            <w:r>
              <w:t>사전 패키지 준비 및 스케줄 확정</w:t>
            </w:r>
          </w:p>
        </w:tc>
      </w:tr>
    </w:tbl>
    <w:p/>
    <w:p>
      <w:r>
        <w:rPr>
          <w:i/>
          <w:color w:val="8A4B00"/>
        </w:rPr>
        <w:t>※ 위 항목은 미팅에서 결론이 나야 Phase 6 개발 착수가 가능하다. 특히 1~4번(설비 연동 방식과 데이터 취득 체계)은 개발 공수·일정에 가장 큰 영향을 준다. 8~9번(기간·예산·발전계획)은 아키텍처와 계약 범위를 좌우하므로 함께 확정한다.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