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760"/>
      </w:pPr>
      <w:r>
        <w:rPr>
          <w:color w:val="000000"/>
          <w:u w:val="none"/>
        </w:rPr>
        <w:t>Work 1: Secure REST API Development with CI/CD and Real CVE Vulnerability Analysis</w:t>
      </w:r>
    </w:p>
    <w:p>
      <w:pPr>
        <w:spacing w:after="180"/>
      </w:pPr>
      <w:r>
        <w:rPr>
          <w:b/>
        </w:rPr>
        <w:t>Variant number:</w:t>
      </w:r>
      <w:r>
        <w:t xml:space="preserve"> [to be supplied]</w:t>
      </w:r>
    </w:p>
    <w:p>
      <w:pPr>
        <w:spacing w:after="180"/>
      </w:pPr>
      <w:r>
        <w:rPr>
          <w:b/>
        </w:rPr>
        <w:t>Surname and Name:</w:t>
      </w:r>
      <w:r>
        <w:t xml:space="preserve"> [to be supplied]</w:t>
      </w:r>
    </w:p>
    <w:p>
      <w:pPr>
        <w:spacing w:after="180"/>
      </w:pPr>
      <w:r>
        <w:rPr>
          <w:b/>
        </w:rPr>
        <w:t>HDU number:</w:t>
      </w:r>
      <w:r>
        <w:t xml:space="preserve"> [to be supplied]</w:t>
      </w:r>
    </w:p>
    <w:p>
      <w:pPr>
        <w:pStyle w:val="Heading1"/>
        <w:pageBreakBefore/>
      </w:pPr>
      <w:r>
        <w:rPr>
          <w:color w:val="000000"/>
          <w:u w:val="none"/>
        </w:rPr>
        <w:t>Purpose</w:t>
      </w:r>
    </w:p>
    <w:p>
      <w:r>
        <w:t>This work demonstrates how a backend service can be built with authentication, parameterized data access, output encoding, automated testing, and CI-based security scanning. It then examines a real vulnerability in a controlled Docker environment, explains its root cause, applies a version-based fix, and verifies that the exploit no longer succeeds without breaking normal functionality.</w:t>
      </w:r>
    </w:p>
    <w:p>
      <w:pPr>
        <w:pStyle w:val="Heading1"/>
      </w:pPr>
      <w:r>
        <w:rPr>
          <w:color w:val="000000"/>
          <w:u w:val="none"/>
        </w:rPr>
        <w:t>Project and API</w:t>
      </w:r>
    </w:p>
    <w:p>
      <w:r>
        <w:t>The application is a Flask service backed by SQLite. It exposes three endpoints.</w:t>
      </w:r>
    </w:p>
    <w:tbl>
      <w:tblPr>
        <w:tblW w:type="auto" w:w="0"/>
        <w:jc w:val="center"/>
        <w:tblLayout w:type="fixed"/>
        <w:tblLook w:firstColumn="1" w:firstRow="1" w:lastColumn="0" w:lastRow="0" w:noHBand="0" w:noVBand="1" w:val="04A0"/>
      </w:tblPr>
      <w:tblGrid>
        <w:gridCol w:w="2441"/>
        <w:gridCol w:w="2441"/>
        <w:gridCol w:w="2441"/>
        <w:gridCol w:w="2441"/>
      </w:tblGrid>
      <w:tr>
        <w:tc>
          <w:tcPr>
            <w:tcW w:type="dxa" w:w="1008"/>
            <w:vAlign w:val="center"/>
            <w:shd w:fill="1F4E5F"/>
            <w:tcBorders>
              <w:top w:val="single" w:sz="6" w:color="D9D9D9"/>
              <w:left w:val="single" w:sz="6" w:color="D9D9D9"/>
              <w:bottom w:val="single" w:sz="6" w:color="D9D9D9"/>
              <w:right w:val="single" w:sz="6" w:color="D9D9D9"/>
            </w:tcBorders>
            <w:tcMar>
              <w:top w:w="100" w:type="dxa"/>
              <w:start w:w="100" w:type="dxa"/>
              <w:bottom w:w="100" w:type="dxa"/>
              <w:end w:w="100" w:type="dxa"/>
            </w:tcMar>
          </w:tcPr>
          <w:p>
            <w:r>
              <w:rPr>
                <w:b/>
                <w:color w:val="FFFFFF"/>
                <w:sz w:val="19"/>
              </w:rPr>
              <w:t>Method</w:t>
            </w:r>
          </w:p>
        </w:tc>
        <w:tc>
          <w:tcPr>
            <w:tcW w:type="dxa" w:w="1944"/>
            <w:vAlign w:val="center"/>
            <w:shd w:fill="1F4E5F"/>
            <w:tcBorders>
              <w:top w:val="single" w:sz="6" w:color="D9D9D9"/>
              <w:left w:val="single" w:sz="6" w:color="D9D9D9"/>
              <w:bottom w:val="single" w:sz="6" w:color="D9D9D9"/>
              <w:right w:val="single" w:sz="6" w:color="D9D9D9"/>
            </w:tcBorders>
            <w:tcMar>
              <w:top w:w="100" w:type="dxa"/>
              <w:start w:w="100" w:type="dxa"/>
              <w:bottom w:w="100" w:type="dxa"/>
              <w:end w:w="100" w:type="dxa"/>
            </w:tcMar>
          </w:tcPr>
          <w:p>
            <w:r>
              <w:rPr>
                <w:b/>
                <w:color w:val="FFFFFF"/>
                <w:sz w:val="19"/>
              </w:rPr>
              <w:t>Path</w:t>
            </w:r>
          </w:p>
        </w:tc>
        <w:tc>
          <w:tcPr>
            <w:tcW w:type="dxa" w:w="1656"/>
            <w:vAlign w:val="center"/>
            <w:shd w:fill="1F4E5F"/>
            <w:tcBorders>
              <w:top w:val="single" w:sz="6" w:color="D9D9D9"/>
              <w:left w:val="single" w:sz="6" w:color="D9D9D9"/>
              <w:bottom w:val="single" w:sz="6" w:color="D9D9D9"/>
              <w:right w:val="single" w:sz="6" w:color="D9D9D9"/>
            </w:tcBorders>
            <w:tcMar>
              <w:top w:w="100" w:type="dxa"/>
              <w:start w:w="100" w:type="dxa"/>
              <w:bottom w:w="100" w:type="dxa"/>
              <w:end w:w="100" w:type="dxa"/>
            </w:tcMar>
          </w:tcPr>
          <w:p>
            <w:r>
              <w:rPr>
                <w:b/>
                <w:color w:val="FFFFFF"/>
                <w:sz w:val="19"/>
              </w:rPr>
              <w:t>Authentication</w:t>
            </w:r>
          </w:p>
        </w:tc>
        <w:tc>
          <w:tcPr>
            <w:tcW w:type="dxa" w:w="4680"/>
            <w:vAlign w:val="center"/>
            <w:shd w:fill="1F4E5F"/>
            <w:tcBorders>
              <w:top w:val="single" w:sz="6" w:color="D9D9D9"/>
              <w:left w:val="single" w:sz="6" w:color="D9D9D9"/>
              <w:bottom w:val="single" w:sz="6" w:color="D9D9D9"/>
              <w:right w:val="single" w:sz="6" w:color="D9D9D9"/>
            </w:tcBorders>
            <w:tcMar>
              <w:top w:w="100" w:type="dxa"/>
              <w:start w:w="100" w:type="dxa"/>
              <w:bottom w:w="100" w:type="dxa"/>
              <w:end w:w="100" w:type="dxa"/>
            </w:tcMar>
          </w:tcPr>
          <w:p>
            <w:r>
              <w:rPr>
                <w:b/>
                <w:color w:val="FFFFFF"/>
                <w:sz w:val="19"/>
              </w:rPr>
              <w:t>Purpose</w:t>
            </w:r>
          </w:p>
        </w:tc>
      </w:tr>
      <w:tr>
        <w:tc>
          <w:tcPr>
            <w:tcW w:type="dxa" w:w="10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POST</w:t>
            </w:r>
          </w:p>
        </w:tc>
        <w:tc>
          <w:tcPr>
            <w:tcW w:type="dxa" w:w="1944"/>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`/auth/login`</w:t>
            </w:r>
          </w:p>
        </w:tc>
        <w:tc>
          <w:tcPr>
            <w:tcW w:type="dxa" w:w="1656"/>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No</w:t>
            </w:r>
          </w:p>
        </w:tc>
        <w:tc>
          <w:tcPr>
            <w:tcW w:type="dxa" w:w="468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Validate credentials and issue a JWT.</w:t>
            </w:r>
          </w:p>
        </w:tc>
      </w:tr>
      <w:tr>
        <w:tc>
          <w:tcPr>
            <w:tcW w:type="dxa" w:w="10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GET</w:t>
            </w:r>
          </w:p>
        </w:tc>
        <w:tc>
          <w:tcPr>
            <w:tcW w:type="dxa" w:w="1944"/>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`/api/data`</w:t>
            </w:r>
          </w:p>
        </w:tc>
        <w:tc>
          <w:tcPr>
            <w:tcW w:type="dxa" w:w="1656"/>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Bearer JWT</w:t>
            </w:r>
          </w:p>
        </w:tc>
        <w:tc>
          <w:tcPr>
            <w:tcW w:type="dxa" w:w="468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Return the authenticated user's records.</w:t>
            </w:r>
          </w:p>
        </w:tc>
      </w:tr>
      <w:tr>
        <w:tc>
          <w:tcPr>
            <w:tcW w:type="dxa" w:w="10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POST</w:t>
            </w:r>
          </w:p>
        </w:tc>
        <w:tc>
          <w:tcPr>
            <w:tcW w:type="dxa" w:w="1944"/>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`/api/items`</w:t>
            </w:r>
          </w:p>
        </w:tc>
        <w:tc>
          <w:tcPr>
            <w:tcW w:type="dxa" w:w="1656"/>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Bearer JWT</w:t>
            </w:r>
          </w:p>
        </w:tc>
        <w:tc>
          <w:tcPr>
            <w:tcW w:type="dxa" w:w="468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Create a record for the authenticated user.</w:t>
            </w:r>
          </w:p>
        </w:tc>
      </w:tr>
    </w:tbl>
    <w:p>
      <w:pPr>
        <w:spacing w:after="0"/>
      </w:pPr>
    </w:p>
    <w:p>
      <w:r>
        <w:t>The complete request examples are in the repository README.</w:t>
      </w:r>
    </w:p>
    <w:p>
      <w:pPr>
        <w:pStyle w:val="Heading1"/>
      </w:pPr>
      <w:r>
        <w:rPr>
          <w:color w:val="000000"/>
          <w:u w:val="none"/>
        </w:rPr>
        <w:t>Verification results</w:t>
      </w:r>
    </w:p>
    <w:p>
      <w:r>
        <w:t>The local automated suite completed with eight passing tests. Bandit scanned the application source and reported zero issues.</w:t>
      </w:r>
    </w:p>
    <w:tbl>
      <w:tblPr>
        <w:tblW w:type="auto" w:w="0"/>
        <w:jc w:val="center"/>
        <w:tblLayout w:type="fixed"/>
        <w:tblLook w:firstColumn="1" w:firstRow="1" w:lastColumn="0" w:lastRow="0" w:noHBand="0" w:noVBand="1" w:val="04A0"/>
      </w:tblPr>
      <w:tblGrid>
        <w:gridCol w:w="3255"/>
        <w:gridCol w:w="3255"/>
        <w:gridCol w:w="3255"/>
      </w:tblGrid>
      <w:tr>
        <w:tc>
          <w:tcPr>
            <w:tcW w:type="dxa" w:w="1800"/>
            <w:vAlign w:val="center"/>
            <w:shd w:fill="1F4E5F"/>
            <w:tcBorders>
              <w:top w:val="single" w:sz="6" w:color="D9D9D9"/>
              <w:left w:val="single" w:sz="6" w:color="D9D9D9"/>
              <w:bottom w:val="single" w:sz="6" w:color="D9D9D9"/>
              <w:right w:val="single" w:sz="6" w:color="D9D9D9"/>
            </w:tcBorders>
            <w:tcMar>
              <w:top w:w="100" w:type="dxa"/>
              <w:start w:w="100" w:type="dxa"/>
              <w:bottom w:w="100" w:type="dxa"/>
              <w:end w:w="100" w:type="dxa"/>
            </w:tcMar>
          </w:tcPr>
          <w:p>
            <w:r>
              <w:rPr>
                <w:b/>
                <w:color w:val="FFFFFF"/>
                <w:sz w:val="19"/>
              </w:rPr>
              <w:t>Area</w:t>
            </w:r>
          </w:p>
        </w:tc>
        <w:tc>
          <w:tcPr>
            <w:tcW w:type="dxa" w:w="3960"/>
            <w:vAlign w:val="center"/>
            <w:shd w:fill="1F4E5F"/>
            <w:tcBorders>
              <w:top w:val="single" w:sz="6" w:color="D9D9D9"/>
              <w:left w:val="single" w:sz="6" w:color="D9D9D9"/>
              <w:bottom w:val="single" w:sz="6" w:color="D9D9D9"/>
              <w:right w:val="single" w:sz="6" w:color="D9D9D9"/>
            </w:tcBorders>
            <w:tcMar>
              <w:top w:w="100" w:type="dxa"/>
              <w:start w:w="100" w:type="dxa"/>
              <w:bottom w:w="100" w:type="dxa"/>
              <w:end w:w="100" w:type="dxa"/>
            </w:tcMar>
          </w:tcPr>
          <w:p>
            <w:r>
              <w:rPr>
                <w:b/>
                <w:color w:val="FFFFFF"/>
                <w:sz w:val="19"/>
              </w:rPr>
              <w:t>Verification</w:t>
            </w:r>
          </w:p>
        </w:tc>
        <w:tc>
          <w:tcPr>
            <w:tcW w:type="dxa" w:w="3528"/>
            <w:vAlign w:val="center"/>
            <w:shd w:fill="1F4E5F"/>
            <w:tcBorders>
              <w:top w:val="single" w:sz="6" w:color="D9D9D9"/>
              <w:left w:val="single" w:sz="6" w:color="D9D9D9"/>
              <w:bottom w:val="single" w:sz="6" w:color="D9D9D9"/>
              <w:right w:val="single" w:sz="6" w:color="D9D9D9"/>
            </w:tcBorders>
            <w:tcMar>
              <w:top w:w="100" w:type="dxa"/>
              <w:start w:w="100" w:type="dxa"/>
              <w:bottom w:w="100" w:type="dxa"/>
              <w:end w:w="100" w:type="dxa"/>
            </w:tcMar>
          </w:tcPr>
          <w:p>
            <w:r>
              <w:rPr>
                <w:b/>
                <w:color w:val="FFFFFF"/>
                <w:sz w:val="19"/>
              </w:rPr>
              <w:t>Result</w:t>
            </w:r>
          </w:p>
        </w:tc>
      </w:tr>
      <w:tr>
        <w:tc>
          <w:tcPr>
            <w:tcW w:type="dxa" w:w="180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Login</w:t>
            </w:r>
          </w:p>
        </w:tc>
        <w:tc>
          <w:tcPr>
            <w:tcW w:type="dxa" w:w="396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Valid credentials return a three-part JWT</w:t>
            </w:r>
          </w:p>
        </w:tc>
        <w:tc>
          <w:tcPr>
            <w:tcW w:type="dxa" w:w="352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Pass</w:t>
            </w:r>
          </w:p>
        </w:tc>
      </w:tr>
      <w:tr>
        <w:tc>
          <w:tcPr>
            <w:tcW w:type="dxa" w:w="180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Login</w:t>
            </w:r>
          </w:p>
        </w:tc>
        <w:tc>
          <w:tcPr>
            <w:tcW w:type="dxa" w:w="396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Wrong password and SQL injection are rejected</w:t>
            </w:r>
          </w:p>
        </w:tc>
        <w:tc>
          <w:tcPr>
            <w:tcW w:type="dxa" w:w="352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Pass</w:t>
            </w:r>
          </w:p>
        </w:tc>
      </w:tr>
      <w:tr>
        <w:tc>
          <w:tcPr>
            <w:tcW w:type="dxa" w:w="180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Access control</w:t>
            </w:r>
          </w:p>
        </w:tc>
        <w:tc>
          <w:tcPr>
            <w:tcW w:type="dxa" w:w="396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Missing and invalid tokens return HTTP 401</w:t>
            </w:r>
          </w:p>
        </w:tc>
        <w:tc>
          <w:tcPr>
            <w:tcW w:type="dxa" w:w="352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Pass</w:t>
            </w:r>
          </w:p>
        </w:tc>
      </w:tr>
      <w:tr>
        <w:tc>
          <w:tcPr>
            <w:tcW w:type="dxa" w:w="180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Token lifetime</w:t>
            </w:r>
          </w:p>
        </w:tc>
        <w:tc>
          <w:tcPr>
            <w:tcW w:type="dxa" w:w="396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Expired token returns HTTP 401</w:t>
            </w:r>
          </w:p>
        </w:tc>
        <w:tc>
          <w:tcPr>
            <w:tcW w:type="dxa" w:w="352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Pass</w:t>
            </w:r>
          </w:p>
        </w:tc>
      </w:tr>
      <w:tr>
        <w:tc>
          <w:tcPr>
            <w:tcW w:type="dxa" w:w="180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Data access</w:t>
            </w:r>
          </w:p>
        </w:tc>
        <w:tc>
          <w:tcPr>
            <w:tcW w:type="dxa" w:w="396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Authenticated user retrieves owned records</w:t>
            </w:r>
          </w:p>
        </w:tc>
        <w:tc>
          <w:tcPr>
            <w:tcW w:type="dxa" w:w="352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Pass</w:t>
            </w:r>
          </w:p>
        </w:tc>
      </w:tr>
      <w:tr>
        <w:tc>
          <w:tcPr>
            <w:tcW w:type="dxa" w:w="180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XSS</w:t>
            </w:r>
          </w:p>
        </w:tc>
        <w:tc>
          <w:tcPr>
            <w:tcW w:type="dxa" w:w="396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Script-bearing input is returned as escaped text</w:t>
            </w:r>
          </w:p>
        </w:tc>
        <w:tc>
          <w:tcPr>
            <w:tcW w:type="dxa" w:w="352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Pass</w:t>
            </w:r>
          </w:p>
        </w:tc>
      </w:tr>
      <w:tr>
        <w:tc>
          <w:tcPr>
            <w:tcW w:type="dxa" w:w="180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Item creation</w:t>
            </w:r>
          </w:p>
        </w:tc>
        <w:tc>
          <w:tcPr>
            <w:tcW w:type="dxa" w:w="396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Authenticated item creation returns HTTP 201</w:t>
            </w:r>
          </w:p>
        </w:tc>
        <w:tc>
          <w:tcPr>
            <w:tcW w:type="dxa" w:w="352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Pass</w:t>
            </w:r>
          </w:p>
        </w:tc>
      </w:tr>
      <w:tr>
        <w:tc>
          <w:tcPr>
            <w:tcW w:type="dxa" w:w="180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SAST</w:t>
            </w:r>
          </w:p>
        </w:tc>
        <w:tc>
          <w:tcPr>
            <w:tcW w:type="dxa" w:w="396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Bandit source scan</w:t>
            </w:r>
          </w:p>
        </w:tc>
        <w:tc>
          <w:tcPr>
            <w:tcW w:type="dxa" w:w="352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Pass, zero issues</w:t>
            </w:r>
          </w:p>
        </w:tc>
      </w:tr>
    </w:tbl>
    <w:p>
      <w:pPr>
        <w:spacing w:after="0"/>
      </w:pPr>
    </w:p>
    <w:p>
      <w:pPr>
        <w:pStyle w:val="Heading1"/>
        <w:pageBreakBefore/>
      </w:pPr>
      <w:r>
        <w:rPr>
          <w:color w:val="000000"/>
          <w:u w:val="none"/>
        </w:rPr>
        <w:t>Implemented security measures</w:t>
      </w:r>
    </w:p>
    <w:p>
      <w:r>
        <w:t xml:space="preserve">SQL injection is prevented by parameterized SQLite statements. The login query and all item queries use </w:t>
      </w:r>
      <w:r>
        <w:rPr>
          <w:rFonts w:ascii="Consolas" w:hAnsi="Consolas"/>
          <w:sz w:val="18"/>
        </w:rPr>
        <w:t>?</w:t>
      </w:r>
      <w:r>
        <w:t xml:space="preserve"> placeholders and pass values separately from SQL text. A test sends </w:t>
      </w:r>
      <w:r>
        <w:rPr>
          <w:rFonts w:ascii="Consolas" w:hAnsi="Consolas"/>
          <w:sz w:val="18"/>
        </w:rPr>
        <w:t>alice' OR '1'='1</w:t>
      </w:r>
      <w:r>
        <w:t xml:space="preserve"> as the username and confirms that login is rejected.</w:t>
      </w:r>
    </w:p>
    <w:p>
      <w:r>
        <w:t xml:space="preserve">XSS is prevented by escaping user-controlled strings before they are returned in JSON. MarkupSafe converts </w:t>
      </w:r>
      <w:r>
        <w:rPr>
          <w:rFonts w:ascii="Consolas" w:hAnsi="Consolas"/>
          <w:sz w:val="18"/>
        </w:rPr>
        <w:t>&lt;</w:t>
      </w:r>
      <w:r>
        <w:t xml:space="preserve">, </w:t>
      </w:r>
      <w:r>
        <w:rPr>
          <w:rFonts w:ascii="Consolas" w:hAnsi="Consolas"/>
          <w:sz w:val="18"/>
        </w:rPr>
        <w:t>&gt;</w:t>
      </w:r>
      <w:r>
        <w:t>, quotes, and ampersands into HTML entities. A test submits a script tag and an image error handler and confirms that the response contains escaped text instead of executable markup.</w:t>
      </w:r>
    </w:p>
    <w:p>
      <w:r>
        <w:t>Passwords are stored with bcrypt hashes and a configurable work factor. A successful login produces an HMAC-signed JWT with issuer time and expiry claims. The protected endpoints reject missing, malformed, expired, or otherwise invalid tokens and retrieve the user from the database before processing the request.</w:t>
      </w:r>
    </w:p>
    <w:p>
      <w:pPr>
        <w:pStyle w:val="Heading1"/>
      </w:pPr>
      <w:r>
        <w:rPr>
          <w:color w:val="000000"/>
          <w:u w:val="none"/>
        </w:rPr>
        <w:t>CI/CD</w:t>
      </w:r>
    </w:p>
    <w:p>
      <w:r>
        <w:t xml:space="preserve">The workflow at </w:t>
      </w:r>
      <w:r>
        <w:rPr>
          <w:rFonts w:ascii="Consolas" w:hAnsi="Consolas"/>
          <w:sz w:val="18"/>
        </w:rPr>
        <w:t>.github/workflows/ci.yml</w:t>
      </w:r>
      <w:r>
        <w:t xml:space="preserve"> runs on push and pull requests. It installs the declared dependencies, runs the pytest suite, executes Bandit as a SAST scanner, runs Snyk as the SCA scanner, and stores both reports as workflow artifacts.</w:t>
      </w:r>
    </w:p>
    <w:p>
      <w:r>
        <w:t xml:space="preserve">Evidence required for the final submission is listed in </w:t>
      </w:r>
      <w:r>
        <w:rPr>
          <w:rFonts w:ascii="Consolas" w:hAnsi="Consolas"/>
          <w:sz w:val="18"/>
        </w:rPr>
        <w:t>evidence/README.md</w:t>
      </w:r>
      <w:r>
        <w:t>. The public repository URL and successful workflow URL must be inserted after the repository is published.</w:t>
      </w:r>
    </w:p>
    <w:p>
      <w:pPr>
        <w:pStyle w:val="Heading2"/>
      </w:pPr>
      <w:r>
        <w:rPr>
          <w:color w:val="000000"/>
          <w:u w:val="none"/>
        </w:rPr>
        <w:t>CI evidence checklist</w:t>
      </w:r>
    </w:p>
    <w:tbl>
      <w:tblPr>
        <w:tblW w:type="auto" w:w="0"/>
        <w:jc w:val="center"/>
        <w:tblLayout w:type="fixed"/>
        <w:tblLook w:firstColumn="1" w:firstRow="1" w:lastColumn="0" w:lastRow="0" w:noHBand="0" w:noVBand="1" w:val="04A0"/>
      </w:tblPr>
      <w:tblGrid>
        <w:gridCol w:w="4882"/>
        <w:gridCol w:w="4882"/>
      </w:tblGrid>
      <w:tr>
        <w:tc>
          <w:tcPr>
            <w:tcW w:type="dxa" w:w="4608"/>
            <w:vAlign w:val="center"/>
            <w:shd w:fill="1F4E5F"/>
            <w:tcBorders>
              <w:top w:val="single" w:sz="6" w:color="D9D9D9"/>
              <w:left w:val="single" w:sz="6" w:color="D9D9D9"/>
              <w:bottom w:val="single" w:sz="6" w:color="D9D9D9"/>
              <w:right w:val="single" w:sz="6" w:color="D9D9D9"/>
            </w:tcBorders>
            <w:tcMar>
              <w:top w:w="100" w:type="dxa"/>
              <w:start w:w="100" w:type="dxa"/>
              <w:bottom w:w="100" w:type="dxa"/>
              <w:end w:w="100" w:type="dxa"/>
            </w:tcMar>
          </w:tcPr>
          <w:p>
            <w:r>
              <w:rPr>
                <w:b/>
                <w:color w:val="FFFFFF"/>
                <w:sz w:val="19"/>
              </w:rPr>
              <w:t>Evidence</w:t>
            </w:r>
          </w:p>
        </w:tc>
        <w:tc>
          <w:tcPr>
            <w:tcW w:type="dxa" w:w="4608"/>
            <w:vAlign w:val="center"/>
            <w:shd w:fill="1F4E5F"/>
            <w:tcBorders>
              <w:top w:val="single" w:sz="6" w:color="D9D9D9"/>
              <w:left w:val="single" w:sz="6" w:color="D9D9D9"/>
              <w:bottom w:val="single" w:sz="6" w:color="D9D9D9"/>
              <w:right w:val="single" w:sz="6" w:color="D9D9D9"/>
            </w:tcBorders>
            <w:tcMar>
              <w:top w:w="100" w:type="dxa"/>
              <w:start w:w="100" w:type="dxa"/>
              <w:bottom w:w="100" w:type="dxa"/>
              <w:end w:w="100" w:type="dxa"/>
            </w:tcMar>
          </w:tcPr>
          <w:p>
            <w:r>
              <w:rPr>
                <w:b/>
                <w:color w:val="FFFFFF"/>
                <w:sz w:val="19"/>
              </w:rPr>
              <w:t>Required content</w:t>
            </w:r>
          </w:p>
        </w:tc>
      </w:tr>
      <w:tr>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Bandit report</w:t>
            </w:r>
          </w:p>
        </w:tc>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No high-severity findings or documented fixes</w:t>
            </w:r>
          </w:p>
        </w:tc>
      </w:tr>
      <w:tr>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Snyk report</w:t>
            </w:r>
          </w:p>
        </w:tc>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Dependency scan result and remediation status</w:t>
            </w:r>
          </w:p>
        </w:tc>
      </w:tr>
      <w:tr>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Workflow run</w:t>
            </w:r>
          </w:p>
        </w:tc>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Green run for the submitted commit</w:t>
            </w:r>
          </w:p>
        </w:tc>
      </w:tr>
    </w:tbl>
    <w:p>
      <w:pPr>
        <w:spacing w:after="0"/>
      </w:pPr>
    </w:p>
    <w:p>
      <w:pPr>
        <w:pStyle w:val="Heading1"/>
      </w:pPr>
      <w:r>
        <w:rPr>
          <w:color w:val="000000"/>
          <w:u w:val="none"/>
        </w:rPr>
        <w:t>Evaluation mapping</w:t>
      </w:r>
    </w:p>
    <w:tbl>
      <w:tblPr>
        <w:tblW w:type="auto" w:w="0"/>
        <w:jc w:val="center"/>
        <w:tblLayout w:type="fixed"/>
        <w:tblLook w:firstColumn="1" w:firstRow="1" w:lastColumn="0" w:lastRow="0" w:noHBand="0" w:noVBand="1" w:val="04A0"/>
      </w:tblPr>
      <w:tblGrid>
        <w:gridCol w:w="3255"/>
        <w:gridCol w:w="3255"/>
        <w:gridCol w:w="3255"/>
      </w:tblGrid>
      <w:tr>
        <w:tc>
          <w:tcPr>
            <w:tcW w:type="dxa" w:w="1800"/>
            <w:vAlign w:val="center"/>
            <w:shd w:fill="1F4E5F"/>
            <w:tcBorders>
              <w:top w:val="single" w:sz="6" w:color="D9D9D9"/>
              <w:left w:val="single" w:sz="6" w:color="D9D9D9"/>
              <w:bottom w:val="single" w:sz="6" w:color="D9D9D9"/>
              <w:right w:val="single" w:sz="6" w:color="D9D9D9"/>
            </w:tcBorders>
            <w:tcMar>
              <w:top w:w="100" w:type="dxa"/>
              <w:start w:w="100" w:type="dxa"/>
              <w:bottom w:w="100" w:type="dxa"/>
              <w:end w:w="100" w:type="dxa"/>
            </w:tcMar>
          </w:tcPr>
          <w:p>
            <w:r>
              <w:rPr>
                <w:b/>
                <w:color w:val="FFFFFF"/>
                <w:sz w:val="19"/>
              </w:rPr>
              <w:t>Assessment area</w:t>
            </w:r>
          </w:p>
        </w:tc>
        <w:tc>
          <w:tcPr>
            <w:tcW w:type="dxa" w:w="3960"/>
            <w:vAlign w:val="center"/>
            <w:shd w:fill="1F4E5F"/>
            <w:tcBorders>
              <w:top w:val="single" w:sz="6" w:color="D9D9D9"/>
              <w:left w:val="single" w:sz="6" w:color="D9D9D9"/>
              <w:bottom w:val="single" w:sz="6" w:color="D9D9D9"/>
              <w:right w:val="single" w:sz="6" w:color="D9D9D9"/>
            </w:tcBorders>
            <w:tcMar>
              <w:top w:w="100" w:type="dxa"/>
              <w:start w:w="100" w:type="dxa"/>
              <w:bottom w:w="100" w:type="dxa"/>
              <w:end w:w="100" w:type="dxa"/>
            </w:tcMar>
          </w:tcPr>
          <w:p>
            <w:r>
              <w:rPr>
                <w:b/>
                <w:color w:val="FFFFFF"/>
                <w:sz w:val="19"/>
              </w:rPr>
              <w:t>Points</w:t>
            </w:r>
          </w:p>
        </w:tc>
        <w:tc>
          <w:tcPr>
            <w:tcW w:type="dxa" w:w="3528"/>
            <w:vAlign w:val="center"/>
            <w:shd w:fill="1F4E5F"/>
            <w:tcBorders>
              <w:top w:val="single" w:sz="6" w:color="D9D9D9"/>
              <w:left w:val="single" w:sz="6" w:color="D9D9D9"/>
              <w:bottom w:val="single" w:sz="6" w:color="D9D9D9"/>
              <w:right w:val="single" w:sz="6" w:color="D9D9D9"/>
            </w:tcBorders>
            <w:tcMar>
              <w:top w:w="100" w:type="dxa"/>
              <w:start w:w="100" w:type="dxa"/>
              <w:bottom w:w="100" w:type="dxa"/>
              <w:end w:w="100" w:type="dxa"/>
            </w:tcMar>
          </w:tcPr>
          <w:p>
            <w:r>
              <w:rPr>
                <w:b/>
                <w:color w:val="FFFFFF"/>
                <w:sz w:val="19"/>
              </w:rPr>
              <w:t>Evidence</w:t>
            </w:r>
          </w:p>
        </w:tc>
      </w:tr>
      <w:tr>
        <w:tc>
          <w:tcPr>
            <w:tcW w:type="dxa" w:w="180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API functionality</w:t>
            </w:r>
          </w:p>
        </w:tc>
        <w:tc>
          <w:tcPr>
            <w:tcW w:type="dxa" w:w="396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2</w:t>
            </w:r>
          </w:p>
        </w:tc>
        <w:tc>
          <w:tcPr>
            <w:tcW w:type="dxa" w:w="352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Three endpoints and automated tests</w:t>
            </w:r>
          </w:p>
        </w:tc>
      </w:tr>
      <w:tr>
        <w:tc>
          <w:tcPr>
            <w:tcW w:type="dxa" w:w="180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Security measures</w:t>
            </w:r>
          </w:p>
        </w:tc>
        <w:tc>
          <w:tcPr>
            <w:tcW w:type="dxa" w:w="396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2</w:t>
            </w:r>
          </w:p>
        </w:tc>
        <w:tc>
          <w:tcPr>
            <w:tcW w:type="dxa" w:w="352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Parameterized SQL, escaped output, JWT, bcrypt</w:t>
            </w:r>
          </w:p>
        </w:tc>
      </w:tr>
      <w:tr>
        <w:tc>
          <w:tcPr>
            <w:tcW w:type="dxa" w:w="180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CI/CD</w:t>
            </w:r>
          </w:p>
        </w:tc>
        <w:tc>
          <w:tcPr>
            <w:tcW w:type="dxa" w:w="396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2</w:t>
            </w:r>
          </w:p>
        </w:tc>
        <w:tc>
          <w:tcPr>
            <w:tcW w:type="dxa" w:w="352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GitHub Actions workflow with Bandit and Snyk</w:t>
            </w:r>
          </w:p>
        </w:tc>
      </w:tr>
      <w:tr>
        <w:tc>
          <w:tcPr>
            <w:tcW w:type="dxa" w:w="180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CVE reproduction</w:t>
            </w:r>
          </w:p>
        </w:tc>
        <w:tc>
          <w:tcPr>
            <w:tcW w:type="dxa" w:w="396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2</w:t>
            </w:r>
          </w:p>
        </w:tc>
        <w:tc>
          <w:tcPr>
            <w:tcW w:type="dxa" w:w="352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Vulhub screenshots and malicious admin lookup</w:t>
            </w:r>
          </w:p>
        </w:tc>
      </w:tr>
      <w:tr>
        <w:tc>
          <w:tcPr>
            <w:tcW w:type="dxa" w:w="180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Root-cause analysis</w:t>
            </w:r>
          </w:p>
        </w:tc>
        <w:tc>
          <w:tcPr>
            <w:tcW w:type="dxa" w:w="396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1</w:t>
            </w:r>
          </w:p>
        </w:tc>
        <w:tc>
          <w:tcPr>
            <w:tcW w:type="dxa" w:w="352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JSONField/HStoreField key handling</w:t>
            </w:r>
          </w:p>
        </w:tc>
      </w:tr>
      <w:tr>
        <w:tc>
          <w:tcPr>
            <w:tcW w:type="dxa" w:w="180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Fix and verification</w:t>
            </w:r>
          </w:p>
        </w:tc>
        <w:tc>
          <w:tcPr>
            <w:tcW w:type="dxa" w:w="3960"/>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1</w:t>
            </w:r>
          </w:p>
        </w:tc>
        <w:tc>
          <w:tcPr>
            <w:tcW w:type="dxa" w:w="352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Django upgrade, blocked SQL error, regression test</w:t>
            </w:r>
          </w:p>
        </w:tc>
      </w:tr>
    </w:tbl>
    <w:p>
      <w:pPr>
        <w:spacing w:after="0"/>
      </w:pPr>
    </w:p>
    <w:p>
      <w:pPr>
        <w:pStyle w:val="Heading1"/>
        <w:pageBreakBefore/>
      </w:pPr>
      <w:r>
        <w:rPr>
          <w:color w:val="000000"/>
          <w:u w:val="none"/>
        </w:rPr>
        <w:t>Selected vulnerability</w:t>
      </w:r>
    </w:p>
    <w:p>
      <w:r>
        <w:t>CVE-2019-14234 is a SQL injection vulnerability in Django JSONField and HStoreField lookups. It affects Django versions before 2.2.4, 2.1.11, and 1.11.23. The Vulhub demonstration uses Django 2.2.3 and exposes the affected query path through the Collection admin list.</w:t>
      </w:r>
      <w:r>
        <w:rPr>
          <w:rFonts w:ascii="Consolas" w:hAnsi="Consolas"/>
          <w:sz w:val="18"/>
        </w:rPr>
      </w:r>
      <w:r/>
    </w:p>
    <w:p>
      <w:pPr>
        <w:pStyle w:val="Heading1"/>
      </w:pPr>
      <w:r>
        <w:rPr>
          <w:color w:val="000000"/>
          <w:u w:val="none"/>
        </w:rPr>
        <w:t>Reproduction and root cause</w:t>
      </w:r>
    </w:p>
    <w:p>
      <w:r>
        <w:t>Start the official Vulhub django/CVE-2019-14234 environment with Docker Compose:</w:t>
      </w:r>
      <w:r>
        <w:rPr>
          <w:rFonts w:ascii="Consolas" w:hAnsi="Consolas"/>
          <w:sz w:val="18"/>
        </w:rPr>
      </w:r>
      <w:r/>
    </w:p>
    <w:p>
      <w:pPr>
        <w:pStyle w:val="CodeBlock"/>
      </w:pPr>
      <w:r>
        <w:t>cd C:\labs\vulhub\django\CVE-2019-14234</w:t>
        <w:br/>
        <w:t>docker compose up -d</w:t>
        <w:br/>
        <w:t>docker compose ps</w:t>
        <w:br/>
        <w:t xml:space="preserve">docker compose exec web python -c 'import django; print(django.get_version())' </w:t>
      </w:r>
    </w:p>
    <w:p>
      <w:r>
        <w:t>Log in to the Django admin interface at http://127.0.0.1:8000/admin/ using admin / a123123123, then open the malicious JSONField lookup:</w:t>
      </w:r>
      <w:r>
        <w:rPr>
          <w:rFonts w:ascii="Consolas" w:hAnsi="Consolas"/>
          <w:sz w:val="18"/>
        </w:rPr>
      </w:r>
      <w:r/>
      <w:r>
        <w:rPr>
          <w:rFonts w:ascii="Consolas" w:hAnsi="Consolas"/>
          <w:sz w:val="18"/>
        </w:rPr>
      </w:r>
      <w:r/>
    </w:p>
    <w:p>
      <w:pPr>
        <w:pStyle w:val="CodeBlock"/>
      </w:pPr>
      <w:r>
        <w:t>http://127.0.0.1:8000/admin/vuln/collection/?detail__a%27b=123</w:t>
      </w:r>
    </w:p>
    <w:p>
      <w:r>
        <w:t>On Django 2.2.3, the crafted detail__a'b lookup reaches the generated SQL identifier context and produces a database error. The vulnerability is improper handling of a user-controlled JSONField key, not a weak admin password.</w:t>
      </w:r>
      <w:r>
        <w:rPr>
          <w:rFonts w:ascii="Consolas" w:hAnsi="Consolas"/>
          <w:sz w:val="18"/>
        </w:rPr>
      </w:r>
      <w:r/>
    </w:p>
    <w:p>
      <w:pPr>
        <w:pStyle w:val="Heading1"/>
      </w:pPr>
      <w:r>
        <w:rPr>
          <w:color w:val="000000"/>
          <w:u w:val="none"/>
        </w:rPr>
        <w:t>Fix and verification</w:t>
      </w:r>
    </w:p>
    <w:p>
      <w:r>
        <w:t>Django corrected the issue in 2.2.4, 2.1.11, and 1.11.23. The supplied fix builds Django 2.2.4 from the working Vulhub 2.2.3 image. After recreating the laboratory database, the same lookup must no longer produce an SQL error, while the normal Collection admin page must still load.</w:t>
      </w:r>
    </w:p>
    <w:p>
      <w:pPr>
        <w:pStyle w:val="CodeBlock"/>
      </w:pPr>
      <w:r>
        <w:t>docker compose down -v</w:t>
        <w:br/>
        <w:t>Copy-Item 'D:\学校\课程文件\Information Security\work1\cve\CVE-2019-14234\fix\patched\docker-compose.yml' -Destination '.\docker-compose.yml' -Force</w:t>
        <w:br/>
        <w:t>Copy-Item 'D:\学校\课程文件\Information Security\work1\cve\CVE-2019-14234\fix\patched\Dockerfile' -Destination '.\Dockerfile' -Force</w:t>
        <w:br/>
        <w:t>docker compose build --no-cache</w:t>
        <w:br/>
        <w:t>docker compose up -d</w:t>
        <w:br/>
        <w:t xml:space="preserve">docker compose exec web python -c 'import django; print(django.get_version())' </w:t>
      </w:r>
    </w:p>
    <w:p>
      <w:r>
        <w:t>The Evidence section records the vulnerable Django version, the SQL error caused by the crafted lookup, the corrected result, and the normal admin page after the upgrade.</w:t>
      </w:r>
    </w:p>
    <w:p>
      <w:pPr>
        <w:pStyle w:val="Heading2"/>
      </w:pPr>
      <w:r>
        <w:rPr>
          <w:color w:val="000000"/>
          <w:u w:val="none"/>
        </w:rPr>
        <w:t>CVE evidence checklist</w:t>
      </w:r>
    </w:p>
    <w:tbl>
      <w:tblPr>
        <w:tblW w:type="auto" w:w="0"/>
        <w:jc w:val="center"/>
        <w:tblLayout w:type="fixed"/>
        <w:tblLook w:firstColumn="1" w:firstRow="1" w:lastColumn="0" w:lastRow="0" w:noHBand="0" w:noVBand="1" w:val="04A0"/>
      </w:tblPr>
      <w:tblGrid>
        <w:gridCol w:w="4882"/>
        <w:gridCol w:w="4882"/>
      </w:tblGrid>
      <w:tr>
        <w:tc>
          <w:tcPr>
            <w:tcW w:type="dxa" w:w="4608"/>
            <w:vAlign w:val="center"/>
            <w:shd w:fill="1F4E5F"/>
            <w:tcBorders>
              <w:top w:val="single" w:sz="6" w:color="D9D9D9"/>
              <w:left w:val="single" w:sz="6" w:color="D9D9D9"/>
              <w:bottom w:val="single" w:sz="6" w:color="D9D9D9"/>
              <w:right w:val="single" w:sz="6" w:color="D9D9D9"/>
            </w:tcBorders>
            <w:tcMar>
              <w:top w:w="100" w:type="dxa"/>
              <w:start w:w="100" w:type="dxa"/>
              <w:bottom w:w="100" w:type="dxa"/>
              <w:end w:w="100" w:type="dxa"/>
            </w:tcMar>
          </w:tcPr>
          <w:p>
            <w:r>
              <w:rPr>
                <w:b/>
                <w:color w:val="FFFFFF"/>
                <w:sz w:val="19"/>
              </w:rPr>
              <w:t>Evidence</w:t>
            </w:r>
          </w:p>
        </w:tc>
        <w:tc>
          <w:tcPr>
            <w:tcW w:type="dxa" w:w="4608"/>
            <w:vAlign w:val="center"/>
            <w:shd w:fill="1F4E5F"/>
            <w:tcBorders>
              <w:top w:val="single" w:sz="6" w:color="D9D9D9"/>
              <w:left w:val="single" w:sz="6" w:color="D9D9D9"/>
              <w:bottom w:val="single" w:sz="6" w:color="D9D9D9"/>
              <w:right w:val="single" w:sz="6" w:color="D9D9D9"/>
            </w:tcBorders>
            <w:tcMar>
              <w:top w:w="100" w:type="dxa"/>
              <w:start w:w="100" w:type="dxa"/>
              <w:bottom w:w="100" w:type="dxa"/>
              <w:end w:w="100" w:type="dxa"/>
            </w:tcMar>
          </w:tcPr>
          <w:p>
            <w:r>
              <w:rPr>
                <w:b/>
                <w:color w:val="FFFFFF"/>
                <w:sz w:val="19"/>
              </w:rPr>
              <w:t>Required content</w:t>
            </w:r>
          </w:p>
        </w:tc>
      </w:tr>
      <w:tr>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Vulnerable state</w:t>
            </w:r>
          </w:p>
        </w:tc>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Django 2.2.3 and running Vulhub containers</w:t>
            </w:r>
          </w:p>
        </w:tc>
      </w:tr>
      <w:tr>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Exploit</w:t>
            </w:r>
          </w:p>
        </w:tc>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Malicious detail__a'b lookup and database error</w:t>
            </w:r>
          </w:p>
        </w:tc>
      </w:tr>
      <w:tr>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Fixed state</w:t>
            </w:r>
          </w:p>
        </w:tc>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Same lookup without SQL error on Django 2.2.4</w:t>
            </w:r>
          </w:p>
        </w:tc>
      </w:tr>
      <w:tr>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Regression</w:t>
            </w:r>
          </w:p>
        </w:tc>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Normal Collection admin list still loads</w:t>
            </w:r>
          </w:p>
        </w:tc>
      </w:tr>
    </w:tbl>
    <w:p>
      <w:pPr>
        <w:spacing w:after="0"/>
      </w:pPr>
    </w:p>
    <w:p>
      <w:pPr>
        <w:pStyle w:val="Heading1"/>
        <w:pageBreakBefore/>
      </w:pPr>
      <w:r>
        <w:rPr>
          <w:color w:val="000000"/>
        </w:rPr>
        <w:t>Evidence</w:t>
      </w:r>
    </w:p>
    <w:p>
      <w:r>
        <w:t>The following screenshots are the actual local and CI results used for this submission. They cover the automated checks, API behavior, vulnerable environment, successful exploit, fixed version, and regression test.</w:t>
      </w:r>
    </w:p>
    <w:p>
      <w:pPr>
        <w:spacing w:before="80" w:after="60"/>
        <w:jc w:val="center"/>
      </w:pPr>
      <w:r>
        <w:drawing>
          <wp:inline xmlns:a="http://schemas.openxmlformats.org/drawingml/2006/main" xmlns:pic="http://schemas.openxmlformats.org/drawingml/2006/picture">
            <wp:extent cx="5166360" cy="3294890"/>
            <wp:docPr id="1" name="Picture 1"/>
            <wp:cNvGraphicFramePr>
              <a:graphicFrameLocks noChangeAspect="1"/>
            </wp:cNvGraphicFramePr>
            <a:graphic>
              <a:graphicData uri="http://schemas.openxmlformats.org/drawingml/2006/picture">
                <pic:pic>
                  <pic:nvPicPr>
                    <pic:cNvPr id="0" name="01-bandit-sast.png"/>
                    <pic:cNvPicPr/>
                  </pic:nvPicPr>
                  <pic:blipFill>
                    <a:blip r:embed="rId10"/>
                    <a:stretch>
                      <a:fillRect/>
                    </a:stretch>
                  </pic:blipFill>
                  <pic:spPr>
                    <a:xfrm>
                      <a:off x="0" y="0"/>
                      <a:ext cx="5166360" cy="3294890"/>
                    </a:xfrm>
                    <a:prstGeom prst="rect"/>
                  </pic:spPr>
                </pic:pic>
              </a:graphicData>
            </a:graphic>
          </wp:inline>
        </w:drawing>
      </w:r>
    </w:p>
    <w:p>
      <w:pPr>
        <w:spacing w:after="160"/>
        <w:jc w:val="center"/>
      </w:pPr>
      <w:r>
        <w:rPr>
          <w:i/>
          <w:color w:val="464646"/>
          <w:sz w:val="18"/>
        </w:rPr>
        <w:t>Figure 1. pytest and Bandit SAST results.</w:t>
      </w:r>
    </w:p>
    <w:p>
      <w:pPr>
        <w:spacing w:before="80" w:after="60"/>
        <w:jc w:val="center"/>
      </w:pPr>
      <w:r>
        <w:drawing>
          <wp:inline xmlns:a="http://schemas.openxmlformats.org/drawingml/2006/main" xmlns:pic="http://schemas.openxmlformats.org/drawingml/2006/picture">
            <wp:extent cx="5166360" cy="3704841"/>
            <wp:docPr id="2" name="Picture 2"/>
            <wp:cNvGraphicFramePr>
              <a:graphicFrameLocks noChangeAspect="1"/>
            </wp:cNvGraphicFramePr>
            <a:graphic>
              <a:graphicData uri="http://schemas.openxmlformats.org/drawingml/2006/picture">
                <pic:pic>
                  <pic:nvPicPr>
                    <pic:cNvPr id="0" name="02-snyk-sca.png"/>
                    <pic:cNvPicPr/>
                  </pic:nvPicPr>
                  <pic:blipFill>
                    <a:blip r:embed="rId11"/>
                    <a:stretch>
                      <a:fillRect/>
                    </a:stretch>
                  </pic:blipFill>
                  <pic:spPr>
                    <a:xfrm>
                      <a:off x="0" y="0"/>
                      <a:ext cx="5166360" cy="3704841"/>
                    </a:xfrm>
                    <a:prstGeom prst="rect"/>
                  </pic:spPr>
                </pic:pic>
              </a:graphicData>
            </a:graphic>
          </wp:inline>
        </w:drawing>
      </w:r>
    </w:p>
    <w:p>
      <w:pPr>
        <w:spacing w:after="160"/>
        <w:jc w:val="center"/>
      </w:pPr>
      <w:r>
        <w:rPr>
          <w:i/>
          <w:color w:val="464646"/>
          <w:sz w:val="18"/>
        </w:rPr>
        <w:t>Figure 2. Snyk software composition analysis.</w:t>
      </w:r>
    </w:p>
    <w:p>
      <w:pPr>
        <w:pageBreakBefore/>
        <w:spacing w:before="80" w:after="60"/>
        <w:jc w:val="center"/>
      </w:pPr>
      <w:r>
        <w:drawing>
          <wp:inline xmlns:a="http://schemas.openxmlformats.org/drawingml/2006/main" xmlns:pic="http://schemas.openxmlformats.org/drawingml/2006/picture">
            <wp:extent cx="5669280" cy="3394751"/>
            <wp:docPr id="3" name="Picture 3"/>
            <wp:cNvGraphicFramePr>
              <a:graphicFrameLocks noChangeAspect="1"/>
            </wp:cNvGraphicFramePr>
            <a:graphic>
              <a:graphicData uri="http://schemas.openxmlformats.org/drawingml/2006/picture">
                <pic:pic>
                  <pic:nvPicPr>
                    <pic:cNvPr id="0" name="11-ci-success.png"/>
                    <pic:cNvPicPr/>
                  </pic:nvPicPr>
                  <pic:blipFill>
                    <a:blip r:embed="rId12"/>
                    <a:stretch>
                      <a:fillRect/>
                    </a:stretch>
                  </pic:blipFill>
                  <pic:spPr>
                    <a:xfrm>
                      <a:off x="0" y="0"/>
                      <a:ext cx="5669280" cy="3394751"/>
                    </a:xfrm>
                    <a:prstGeom prst="rect"/>
                  </pic:spPr>
                </pic:pic>
              </a:graphicData>
            </a:graphic>
          </wp:inline>
        </w:drawing>
      </w:r>
    </w:p>
    <w:p>
      <w:pPr>
        <w:spacing w:after="160"/>
        <w:jc w:val="center"/>
      </w:pPr>
      <w:r>
        <w:rPr>
          <w:i/>
          <w:color w:val="464646"/>
          <w:sz w:val="18"/>
        </w:rPr>
        <w:t>Figure 3. Successful GitHub Actions pipeline.</w:t>
      </w:r>
    </w:p>
    <w:p>
      <w:pPr>
        <w:spacing w:before="80" w:after="60"/>
        <w:jc w:val="center"/>
      </w:pPr>
      <w:r>
        <w:drawing>
          <wp:inline xmlns:a="http://schemas.openxmlformats.org/drawingml/2006/main" xmlns:pic="http://schemas.openxmlformats.org/drawingml/2006/picture">
            <wp:extent cx="5669280" cy="1144503"/>
            <wp:docPr id="4" name="Picture 4"/>
            <wp:cNvGraphicFramePr>
              <a:graphicFrameLocks noChangeAspect="1"/>
            </wp:cNvGraphicFramePr>
            <a:graphic>
              <a:graphicData uri="http://schemas.openxmlformats.org/drawingml/2006/picture">
                <pic:pic>
                  <pic:nvPicPr>
                    <pic:cNvPr id="0" name="03-api-login.png"/>
                    <pic:cNvPicPr/>
                  </pic:nvPicPr>
                  <pic:blipFill>
                    <a:blip r:embed="rId13"/>
                    <a:stretch>
                      <a:fillRect/>
                    </a:stretch>
                  </pic:blipFill>
                  <pic:spPr>
                    <a:xfrm>
                      <a:off x="0" y="0"/>
                      <a:ext cx="5669280" cy="1144503"/>
                    </a:xfrm>
                    <a:prstGeom prst="rect"/>
                  </pic:spPr>
                </pic:pic>
              </a:graphicData>
            </a:graphic>
          </wp:inline>
        </w:drawing>
      </w:r>
    </w:p>
    <w:p>
      <w:pPr>
        <w:spacing w:after="160"/>
        <w:jc w:val="center"/>
      </w:pPr>
      <w:r>
        <w:rPr>
          <w:i/>
          <w:color w:val="464646"/>
          <w:sz w:val="18"/>
        </w:rPr>
        <w:t>Figure 4. Successful login and JWT response.</w:t>
      </w:r>
    </w:p>
    <w:p>
      <w:pPr>
        <w:spacing w:before="80" w:after="60"/>
        <w:jc w:val="center"/>
      </w:pPr>
      <w:r>
        <w:drawing>
          <wp:inline xmlns:a="http://schemas.openxmlformats.org/drawingml/2006/main" xmlns:pic="http://schemas.openxmlformats.org/drawingml/2006/picture">
            <wp:extent cx="5669280" cy="1794374"/>
            <wp:docPr id="5" name="Picture 5"/>
            <wp:cNvGraphicFramePr>
              <a:graphicFrameLocks noChangeAspect="1"/>
            </wp:cNvGraphicFramePr>
            <a:graphic>
              <a:graphicData uri="http://schemas.openxmlformats.org/drawingml/2006/picture">
                <pic:pic>
                  <pic:nvPicPr>
                    <pic:cNvPr id="0" name="03b-api-authenticated-data.png"/>
                    <pic:cNvPicPr/>
                  </pic:nvPicPr>
                  <pic:blipFill>
                    <a:blip r:embed="rId14"/>
                    <a:stretch>
                      <a:fillRect/>
                    </a:stretch>
                  </pic:blipFill>
                  <pic:spPr>
                    <a:xfrm>
                      <a:off x="0" y="0"/>
                      <a:ext cx="5669280" cy="1794374"/>
                    </a:xfrm>
                    <a:prstGeom prst="rect"/>
                  </pic:spPr>
                </pic:pic>
              </a:graphicData>
            </a:graphic>
          </wp:inline>
        </w:drawing>
      </w:r>
    </w:p>
    <w:p>
      <w:pPr>
        <w:spacing w:after="160"/>
        <w:jc w:val="center"/>
      </w:pPr>
      <w:r>
        <w:rPr>
          <w:i/>
          <w:color w:val="464646"/>
          <w:sz w:val="18"/>
        </w:rPr>
        <w:t>Figure 5. Authenticated user data retrieval.</w:t>
      </w:r>
    </w:p>
    <w:p>
      <w:pPr>
        <w:pageBreakBefore/>
        <w:spacing w:before="80" w:after="60"/>
        <w:jc w:val="center"/>
      </w:pPr>
      <w:r>
        <w:drawing>
          <wp:inline xmlns:a="http://schemas.openxmlformats.org/drawingml/2006/main" xmlns:pic="http://schemas.openxmlformats.org/drawingml/2006/picture">
            <wp:extent cx="5669280" cy="869807"/>
            <wp:docPr id="6" name="Picture 6"/>
            <wp:cNvGraphicFramePr>
              <a:graphicFrameLocks noChangeAspect="1"/>
            </wp:cNvGraphicFramePr>
            <a:graphic>
              <a:graphicData uri="http://schemas.openxmlformats.org/drawingml/2006/picture">
                <pic:pic>
                  <pic:nvPicPr>
                    <pic:cNvPr id="0" name="04-api-unauthorized.png"/>
                    <pic:cNvPicPr/>
                  </pic:nvPicPr>
                  <pic:blipFill>
                    <a:blip r:embed="rId15"/>
                    <a:stretch>
                      <a:fillRect/>
                    </a:stretch>
                  </pic:blipFill>
                  <pic:spPr>
                    <a:xfrm>
                      <a:off x="0" y="0"/>
                      <a:ext cx="5669280" cy="869807"/>
                    </a:xfrm>
                    <a:prstGeom prst="rect"/>
                  </pic:spPr>
                </pic:pic>
              </a:graphicData>
            </a:graphic>
          </wp:inline>
        </w:drawing>
      </w:r>
    </w:p>
    <w:p>
      <w:pPr>
        <w:spacing w:after="160"/>
        <w:jc w:val="center"/>
      </w:pPr>
      <w:r>
        <w:rPr>
          <w:i/>
          <w:color w:val="464646"/>
          <w:sz w:val="18"/>
        </w:rPr>
        <w:t>Figure 6. Protected endpoint rejects a request without a token.</w:t>
      </w:r>
    </w:p>
    <w:p>
      <w:pPr>
        <w:spacing w:before="80" w:after="60"/>
        <w:jc w:val="center"/>
      </w:pPr>
      <w:r>
        <w:drawing>
          <wp:inline xmlns:a="http://schemas.openxmlformats.org/drawingml/2006/main" xmlns:pic="http://schemas.openxmlformats.org/drawingml/2006/picture">
            <wp:extent cx="5669280" cy="1474012"/>
            <wp:docPr id="7" name="Picture 7"/>
            <wp:cNvGraphicFramePr>
              <a:graphicFrameLocks noChangeAspect="1"/>
            </wp:cNvGraphicFramePr>
            <a:graphic>
              <a:graphicData uri="http://schemas.openxmlformats.org/drawingml/2006/picture">
                <pic:pic>
                  <pic:nvPicPr>
                    <pic:cNvPr id="0" name="05-api-sqli-rejected.png"/>
                    <pic:cNvPicPr/>
                  </pic:nvPicPr>
                  <pic:blipFill>
                    <a:blip r:embed="rId16"/>
                    <a:stretch>
                      <a:fillRect/>
                    </a:stretch>
                  </pic:blipFill>
                  <pic:spPr>
                    <a:xfrm>
                      <a:off x="0" y="0"/>
                      <a:ext cx="5669280" cy="1474012"/>
                    </a:xfrm>
                    <a:prstGeom prst="rect"/>
                  </pic:spPr>
                </pic:pic>
              </a:graphicData>
            </a:graphic>
          </wp:inline>
        </w:drawing>
      </w:r>
    </w:p>
    <w:p>
      <w:pPr>
        <w:spacing w:after="160"/>
        <w:jc w:val="center"/>
      </w:pPr>
      <w:r>
        <w:rPr>
          <w:i/>
          <w:color w:val="464646"/>
          <w:sz w:val="18"/>
        </w:rPr>
        <w:t>Figure 7. SQL injection login attempt is rejected.</w:t>
      </w:r>
    </w:p>
    <w:p>
      <w:pPr>
        <w:spacing w:before="80" w:after="60"/>
        <w:jc w:val="center"/>
      </w:pPr>
      <w:r>
        <w:drawing>
          <wp:inline xmlns:a="http://schemas.openxmlformats.org/drawingml/2006/main" xmlns:pic="http://schemas.openxmlformats.org/drawingml/2006/picture">
            <wp:extent cx="5669280" cy="1924402"/>
            <wp:docPr id="8" name="Picture 8"/>
            <wp:cNvGraphicFramePr>
              <a:graphicFrameLocks noChangeAspect="1"/>
            </wp:cNvGraphicFramePr>
            <a:graphic>
              <a:graphicData uri="http://schemas.openxmlformats.org/drawingml/2006/picture">
                <pic:pic>
                  <pic:nvPicPr>
                    <pic:cNvPr id="0" name="06-api-xss-escaped.png"/>
                    <pic:cNvPicPr/>
                  </pic:nvPicPr>
                  <pic:blipFill>
                    <a:blip r:embed="rId17"/>
                    <a:stretch>
                      <a:fillRect/>
                    </a:stretch>
                  </pic:blipFill>
                  <pic:spPr>
                    <a:xfrm>
                      <a:off x="0" y="0"/>
                      <a:ext cx="5669280" cy="1924402"/>
                    </a:xfrm>
                    <a:prstGeom prst="rect"/>
                  </pic:spPr>
                </pic:pic>
              </a:graphicData>
            </a:graphic>
          </wp:inline>
        </w:drawing>
      </w:r>
    </w:p>
    <w:p>
      <w:pPr>
        <w:spacing w:after="160"/>
        <w:jc w:val="center"/>
      </w:pPr>
      <w:r>
        <w:rPr>
          <w:i/>
          <w:color w:val="464646"/>
          <w:sz w:val="18"/>
        </w:rPr>
        <w:t>Figure 8. XSS-bearing input is returned as escaped HTML entities.</w:t>
      </w:r>
    </w:p>
    <w:p>
      <w:pPr>
        <w:pageBreakBefore/>
        <w:spacing w:before="80" w:after="60"/>
        <w:jc w:val="center"/>
      </w:pPr>
      <w:r>
        <w:drawing>
          <wp:inline xmlns:a="http://schemas.openxmlformats.org/drawingml/2006/main" xmlns:pic="http://schemas.openxmlformats.org/drawingml/2006/picture">
            <wp:extent cx="5669280" cy="953773"/>
            <wp:docPr id="9" name="Picture 9"/>
            <wp:cNvGraphicFramePr>
              <a:graphicFrameLocks noChangeAspect="1"/>
            </wp:cNvGraphicFramePr>
            <a:graphic>
              <a:graphicData uri="http://schemas.openxmlformats.org/drawingml/2006/picture">
                <pic:pic>
                  <pic:nvPicPr>
                    <pic:cNvPr id="0" name="07-cve-version.png"/>
                    <pic:cNvPicPr/>
                  </pic:nvPicPr>
                  <pic:blipFill>
                    <a:blip r:embed="rId22"/>
                    <a:stretch>
                      <a:fillRect/>
                    </a:stretch>
                  </pic:blipFill>
                  <pic:spPr>
                    <a:xfrm>
                      <a:off x="0" y="0"/>
                      <a:ext cx="5669280" cy="953773"/>
                    </a:xfrm>
                    <a:prstGeom prst="rect"/>
                  </pic:spPr>
                </pic:pic>
              </a:graphicData>
            </a:graphic>
          </wp:inline>
        </w:drawing>
      </w:r>
    </w:p>
    <w:p>
      <w:pPr>
        <w:spacing w:after="160"/>
        <w:jc w:val="center"/>
      </w:pPr>
      <w:r>
        <w:rPr>
          <w:i/>
          <w:color w:val="464646"/>
          <w:sz w:val="18"/>
        </w:rPr>
        <w:t>Figure 9. Django 2.2.3 vulnerable environment.</w:t>
      </w:r>
    </w:p>
    <w:p>
      <w:pPr>
        <w:pageBreakBefore/>
        <w:spacing w:before="80" w:after="60"/>
        <w:jc w:val="center"/>
      </w:pPr>
      <w:r>
        <w:drawing>
          <wp:inline xmlns:a="http://schemas.openxmlformats.org/drawingml/2006/main" xmlns:pic="http://schemas.openxmlformats.org/drawingml/2006/picture">
            <wp:extent cx="5669280" cy="3150101"/>
            <wp:docPr id="10" name="Picture 10"/>
            <wp:cNvGraphicFramePr>
              <a:graphicFrameLocks noChangeAspect="1"/>
            </wp:cNvGraphicFramePr>
            <a:graphic>
              <a:graphicData uri="http://schemas.openxmlformats.org/drawingml/2006/picture">
                <pic:pic>
                  <pic:nvPicPr>
                    <pic:cNvPr id="0" name="08-cve-exploit.png"/>
                    <pic:cNvPicPr/>
                  </pic:nvPicPr>
                  <pic:blipFill>
                    <a:blip r:embed="rId23"/>
                    <a:stretch>
                      <a:fillRect/>
                    </a:stretch>
                  </pic:blipFill>
                  <pic:spPr>
                    <a:xfrm>
                      <a:off x="0" y="0"/>
                      <a:ext cx="5669280" cy="3150101"/>
                    </a:xfrm>
                    <a:prstGeom prst="rect"/>
                  </pic:spPr>
                </pic:pic>
              </a:graphicData>
            </a:graphic>
          </wp:inline>
        </w:drawing>
      </w:r>
    </w:p>
    <w:p>
      <w:pPr>
        <w:spacing w:after="160"/>
        <w:jc w:val="center"/>
      </w:pPr>
      <w:r>
        <w:rPr>
          <w:i/>
          <w:color w:val="464646"/>
          <w:sz w:val="18"/>
        </w:rPr>
        <w:t>Figure 10. Malicious JSONField lookup produces a database error.</w:t>
      </w:r>
    </w:p>
    <w:p>
      <w:pPr>
        <w:pageBreakBefore/>
        <w:spacing w:before="80" w:after="60"/>
        <w:jc w:val="center"/>
      </w:pPr>
      <w:r>
        <w:drawing>
          <wp:inline xmlns:a="http://schemas.openxmlformats.org/drawingml/2006/main" xmlns:pic="http://schemas.openxmlformats.org/drawingml/2006/picture">
            <wp:extent cx="5669280" cy="3753873"/>
            <wp:docPr id="11" name="Picture 11"/>
            <wp:cNvGraphicFramePr>
              <a:graphicFrameLocks noChangeAspect="1"/>
            </wp:cNvGraphicFramePr>
            <a:graphic>
              <a:graphicData uri="http://schemas.openxmlformats.org/drawingml/2006/picture">
                <pic:pic>
                  <pic:nvPicPr>
                    <pic:cNvPr id="0" name="09-cve-fixed.png"/>
                    <pic:cNvPicPr/>
                  </pic:nvPicPr>
                  <pic:blipFill>
                    <a:blip r:embed="rId24"/>
                    <a:stretch>
                      <a:fillRect/>
                    </a:stretch>
                  </pic:blipFill>
                  <pic:spPr>
                    <a:xfrm>
                      <a:off x="0" y="0"/>
                      <a:ext cx="5669280" cy="3753873"/>
                    </a:xfrm>
                    <a:prstGeom prst="rect"/>
                  </pic:spPr>
                </pic:pic>
              </a:graphicData>
            </a:graphic>
          </wp:inline>
        </w:drawing>
      </w:r>
    </w:p>
    <w:p>
      <w:pPr>
        <w:spacing w:after="160"/>
        <w:jc w:val="center"/>
      </w:pPr>
      <w:r>
        <w:rPr>
          <w:i/>
          <w:color w:val="464646"/>
          <w:sz w:val="18"/>
        </w:rPr>
        <w:t>Figure 11. The same lookup no longer produces an SQL error after upgrade.</w:t>
      </w:r>
    </w:p>
    <w:p>
      <w:pPr>
        <w:pageBreakBefore/>
        <w:spacing w:before="80" w:after="60"/>
        <w:jc w:val="center"/>
      </w:pPr>
      <w:r>
        <w:drawing>
          <wp:inline xmlns:a="http://schemas.openxmlformats.org/drawingml/2006/main" xmlns:pic="http://schemas.openxmlformats.org/drawingml/2006/picture">
            <wp:extent cx="5669280" cy="3717200"/>
            <wp:docPr id="12" name="Picture 12"/>
            <wp:cNvGraphicFramePr>
              <a:graphicFrameLocks noChangeAspect="1"/>
            </wp:cNvGraphicFramePr>
            <a:graphic>
              <a:graphicData uri="http://schemas.openxmlformats.org/drawingml/2006/picture">
                <pic:pic>
                  <pic:nvPicPr>
                    <pic:cNvPr id="0" name="10-regression.png"/>
                    <pic:cNvPicPr/>
                  </pic:nvPicPr>
                  <pic:blipFill>
                    <a:blip r:embed="rId25"/>
                    <a:stretch>
                      <a:fillRect/>
                    </a:stretch>
                  </pic:blipFill>
                  <pic:spPr>
                    <a:xfrm>
                      <a:off x="0" y="0"/>
                      <a:ext cx="5669280" cy="3717200"/>
                    </a:xfrm>
                    <a:prstGeom prst="rect"/>
                  </pic:spPr>
                </pic:pic>
              </a:graphicData>
            </a:graphic>
          </wp:inline>
        </w:drawing>
      </w:r>
    </w:p>
    <w:p>
      <w:pPr>
        <w:spacing w:after="160"/>
        <w:jc w:val="center"/>
      </w:pPr>
      <w:r>
        <w:rPr>
          <w:i/>
          <w:color w:val="464646"/>
          <w:sz w:val="18"/>
        </w:rPr>
        <w:t>Figure 12. Normal Collection admin page remains functional after the fix.</w:t>
      </w:r>
    </w:p>
    <w:p>
      <w:pPr>
        <w:pStyle w:val="Heading1"/>
        <w:pageBreakBefore/>
      </w:pPr>
      <w:r>
        <w:rPr>
          <w:color w:val="000000"/>
          <w:u w:val="none"/>
        </w:rPr>
        <w:t>Control questions</w:t>
      </w:r>
    </w:p>
    <w:p>
      <w:pPr>
        <w:pStyle w:val="Heading2"/>
      </w:pPr>
      <w:r>
        <w:rPr>
          <w:color w:val="000000"/>
          <w:u w:val="none"/>
        </w:rPr>
        <w:t>1. Why is bcrypt preferable to SHA-256 for passwords?</w:t>
      </w:r>
    </w:p>
    <w:p>
      <w:r>
        <w:t>SHA-256 is designed to be fast, which helps an attacker test very large numbers of guesses. Bcrypt deliberately adds a configurable work factor and a salt so each guess is expensive and precomputed tables are less useful.</w:t>
      </w:r>
    </w:p>
    <w:p>
      <w:pPr>
        <w:pStyle w:val="Heading2"/>
      </w:pPr>
      <w:r>
        <w:rPr>
          <w:color w:val="000000"/>
          <w:u w:val="none"/>
        </w:rPr>
        <w:t>2. What is the main difference between SAST and DAST?</w:t>
      </w:r>
    </w:p>
    <w:p>
      <w:r>
        <w:t>SAST examines source code and configuration without running the application. DAST tests a running application through its external interfaces. They find different classes of defects and complement each other.</w:t>
      </w:r>
    </w:p>
    <w:p>
      <w:pPr>
        <w:pStyle w:val="Heading2"/>
      </w:pPr>
      <w:r>
        <w:rPr>
          <w:color w:val="000000"/>
          <w:u w:val="none"/>
        </w:rPr>
        <w:t>3. How does a JWT work and how does the server verify it?</w:t>
      </w:r>
    </w:p>
    <w:p>
      <w:r>
        <w:t>A JWT contains encoded header and payload segments plus a signature. The server recomputes or verifies the signature with its secret or public key, checks the allowed algorithm, expiry, and expected claims, and only then trusts the payload.</w:t>
      </w:r>
    </w:p>
    <w:p>
      <w:pPr>
        <w:pStyle w:val="Heading2"/>
      </w:pPr>
      <w:r>
        <w:rPr>
          <w:color w:val="000000"/>
          <w:u w:val="none"/>
        </w:rPr>
        <w:t>4. What is the risk of not auditing third-party libraries?</w:t>
      </w:r>
    </w:p>
    <w:p>
      <w:r>
        <w:t>Unreviewed dependencies may contain known vulnerabilities, malicious behavior, or an unsafe update path. SCA identifies known vulnerable package versions so they can be upgraded or removed.</w:t>
      </w:r>
    </w:p>
    <w:p>
      <w:pPr>
        <w:pStyle w:val="Heading2"/>
      </w:pPr>
      <w:r>
        <w:rPr>
          <w:color w:val="000000"/>
          <w:u w:val="none"/>
        </w:rPr>
        <w:t>5. Why use Docker and Vulhub for security study?</w:t>
      </w:r>
    </w:p>
    <w:p>
      <w:r>
        <w:t>Docker isolates vulnerable software from the host and makes the environment reproducible. Vulhub provides documented, disposable examples, so a student can study a known flaw without installing an unsafe service directly on the workstation.</w:t>
      </w:r>
    </w:p>
    <w:p>
      <w:pPr>
        <w:pStyle w:val="Heading2"/>
      </w:pPr>
      <w:r>
        <w:rPr>
          <w:color w:val="000000"/>
          <w:u w:val="none"/>
        </w:rPr>
        <w:t>6. What is the difference between a vulnerability and an exploit?</w:t>
      </w:r>
    </w:p>
    <w:p>
      <w:r>
        <w:t>A vulnerability is a weakness in software or configuration. An exploit is a concrete technique or input sequence that uses the weakness to produce an unintended effect. This work reproduces the exploit against a known vulnerable version.</w:t>
      </w:r>
    </w:p>
    <w:p>
      <w:pPr>
        <w:pStyle w:val="Heading2"/>
      </w:pPr>
      <w:r>
        <w:rPr>
          <w:color w:val="000000"/>
          <w:u w:val="none"/>
        </w:rPr>
        <w:t>7. Why is regression testing important after patching?</w:t>
      </w:r>
    </w:p>
    <w:p>
      <w:r>
        <w:t>A patch can break normal behavior or leave an alternate attack path. Regression tests confirm that the original exploit is blocked while intended functionality continues to work.</w:t>
      </w:r>
    </w:p>
    <w:p>
      <w:pPr>
        <w:pStyle w:val="Heading2"/>
      </w:pPr>
      <w:r>
        <w:rPr>
          <w:color w:val="000000"/>
          <w:u w:val="none"/>
        </w:rPr>
        <w:t>8. How does reproducing CVEs help a security specialist?</w:t>
      </w:r>
    </w:p>
    <w:p>
      <w:r>
        <w:t>It develops practical understanding of affected versions, preconditions, detection opportunities, and safe verification. Penetration testers and SOC analysts can use that knowledge to assess exposure and validate controls without relying only on a vulnerability label.</w:t>
      </w:r>
    </w:p>
    <w:p>
      <w:pPr>
        <w:pStyle w:val="Heading1"/>
        <w:pageBreakBefore/>
      </w:pPr>
      <w:r>
        <w:rPr>
          <w:color w:val="000000"/>
          <w:u w:val="none"/>
        </w:rPr>
        <w:t>Sources</w:t>
      </w:r>
    </w:p>
    <w:p>
      <w:pPr>
        <w:pStyle w:val="ListNumber"/>
      </w:pPr>
      <w:r>
        <w:t>OWASP Top 10: https://owasp.org/www-project-top-ten/</w:t>
      </w:r>
    </w:p>
    <w:p>
      <w:pPr>
        <w:pStyle w:val="ListNumber"/>
      </w:pPr>
      <w:r>
        <w:t>OWASP Cheat Sheet Series: https://cheatsheetseries.owasp.org/</w:t>
      </w:r>
    </w:p>
    <w:p>
      <w:pPr>
        <w:pStyle w:val="ListNumber"/>
      </w:pPr>
      <w:r>
        <w:t>JWT introduction: https://jwt.io/introduction</w:t>
      </w:r>
    </w:p>
    <w:p>
      <w:pPr>
        <w:pStyle w:val="ListNumber"/>
      </w:pPr>
      <w:r>
        <w:t>GitHub Actions: https://docs.github.com/en/actions</w:t>
      </w:r>
    </w:p>
    <w:p>
      <w:pPr>
        <w:pStyle w:val="ListNumber"/>
      </w:pPr>
      <w:r>
        <w:t>GitLab CI: https://docs.gitlab.com/ee/ci/</w:t>
      </w:r>
    </w:p>
    <w:p>
      <w:pPr>
        <w:pStyle w:val="ListNumber"/>
      </w:pPr>
      <w:r>
        <w:t>Vulhub: https://github.com/vulhub/vulhub</w:t>
      </w:r>
    </w:p>
    <w:p>
      <w:pPr>
        <w:pStyle w:val="ListNumber"/>
      </w:pPr>
      <w:r>
        <w:t>NVD: https://nvd.nist.gov/</w:t>
      </w:r>
    </w:p>
    <w:p>
      <w:pPr>
        <w:pStyle w:val="ListNumber"/>
      </w:pPr>
      <w:r>
        <w:t>Docker documentation: https://docs.docker.com/</w:t>
      </w:r>
    </w:p>
    <w:p>
      <w:pPr>
        <w:pStyle w:val="ListNumber"/>
      </w:pPr>
      <w:r>
        <w:t>CVE-2019-14234: https://nvd.nist.gov/vuln/detail/CVE-2019-14234</w:t>
      </w:r>
    </w:p>
    <w:p>
      <w:pPr>
        <w:pStyle w:val="Heading1"/>
      </w:pPr>
      <w:r>
        <w:rPr>
          <w:color w:val="000000"/>
          <w:u w:val="none"/>
        </w:rPr>
        <w:t>Submission links and evidence</w:t>
      </w:r>
    </w:p>
    <w:p>
      <w:pPr>
        <w:pStyle w:val="ListBullet"/>
      </w:pPr>
      <w:r>
        <w:t>Public repository: https://github.com/twq0316/work1-secure-rest-api</w:t>
      </w:r>
    </w:p>
    <w:p>
      <w:pPr>
        <w:pStyle w:val="ListBullet"/>
      </w:pPr>
      <w:r>
        <w:t>Successful CI run: https://github.com/twq0316/work1-secure-rest-api/actions/runs/39366903218</w:t>
      </w:r>
    </w:p>
    <w:p>
      <w:pPr>
        <w:pStyle w:val="ListBullet"/>
      </w:pPr>
      <w:r>
        <w:t>SAST report: evidence/screenshots/01-bandit-sast.png</w:t>
      </w:r>
    </w:p>
    <w:p>
      <w:pPr>
        <w:pStyle w:val="ListBullet"/>
      </w:pPr>
      <w:r>
        <w:t>SCA report: evidence/screenshots/02-snyk-sca.png</w:t>
      </w:r>
    </w:p>
    <w:p>
      <w:pPr>
        <w:pStyle w:val="ListBullet"/>
      </w:pPr>
      <w:r>
        <w:t>Reproduction evidence: 07-cve-version.png, 08-cve-exploit.png, 10-regression.png</w:t>
      </w:r>
    </w:p>
    <w:p>
      <w:pPr>
        <w:pStyle w:val="ListBullet"/>
      </w:pPr>
      <w:r>
        <w:t>Fixed-version evidence: 09-cve-fixed.png</w:t>
      </w:r>
    </w:p>
    <w:tbl>
      <w:tblPr>
        <w:tblW w:type="auto" w:w="0"/>
        <w:jc w:val="center"/>
        <w:tblLayout w:type="fixed"/>
        <w:tblLook w:firstColumn="1" w:firstRow="1" w:lastColumn="0" w:lastRow="0" w:noHBand="0" w:noVBand="1" w:val="04A0"/>
      </w:tblPr>
      <w:tblGrid>
        <w:gridCol w:w="4882"/>
        <w:gridCol w:w="4882"/>
      </w:tblGrid>
      <w:tr>
        <w:tc>
          <w:tcPr>
            <w:tcW w:type="dxa" w:w="4608"/>
            <w:vAlign w:val="center"/>
            <w:shd w:fill="1F4E5F"/>
            <w:tcBorders>
              <w:top w:val="single" w:sz="6" w:color="D9D9D9"/>
              <w:left w:val="single" w:sz="6" w:color="D9D9D9"/>
              <w:bottom w:val="single" w:sz="6" w:color="D9D9D9"/>
              <w:right w:val="single" w:sz="6" w:color="D9D9D9"/>
            </w:tcBorders>
            <w:tcMar>
              <w:top w:w="100" w:type="dxa"/>
              <w:start w:w="100" w:type="dxa"/>
              <w:bottom w:w="100" w:type="dxa"/>
              <w:end w:w="100" w:type="dxa"/>
            </w:tcMar>
          </w:tcPr>
          <w:p>
            <w:r>
              <w:rPr>
                <w:b/>
                <w:color w:val="FFFFFF"/>
                <w:sz w:val="19"/>
              </w:rPr>
              <w:t>Required item</w:t>
            </w:r>
          </w:p>
        </w:tc>
        <w:tc>
          <w:tcPr>
            <w:tcW w:type="dxa" w:w="4608"/>
            <w:vAlign w:val="center"/>
            <w:shd w:fill="1F4E5F"/>
            <w:tcBorders>
              <w:top w:val="single" w:sz="6" w:color="D9D9D9"/>
              <w:left w:val="single" w:sz="6" w:color="D9D9D9"/>
              <w:bottom w:val="single" w:sz="6" w:color="D9D9D9"/>
              <w:right w:val="single" w:sz="6" w:color="D9D9D9"/>
            </w:tcBorders>
            <w:tcMar>
              <w:top w:w="100" w:type="dxa"/>
              <w:start w:w="100" w:type="dxa"/>
              <w:bottom w:w="100" w:type="dxa"/>
              <w:end w:w="100" w:type="dxa"/>
            </w:tcMar>
          </w:tcPr>
          <w:p>
            <w:r>
              <w:rPr>
                <w:b/>
                <w:color w:val="FFFFFF"/>
                <w:sz w:val="19"/>
              </w:rPr>
              <w:t>Location</w:t>
            </w:r>
          </w:p>
        </w:tc>
      </w:tr>
      <w:tr>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Public repository</w:t>
            </w:r>
          </w:p>
        </w:tc>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https://github.com/twq0316/work1-secure-rest-api</w:t>
            </w:r>
          </w:p>
        </w:tc>
      </w:tr>
      <w:tr>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README</w:t>
            </w:r>
          </w:p>
        </w:tc>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`README.md`</w:t>
            </w:r>
          </w:p>
        </w:tc>
      </w:tr>
      <w:tr>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SAST and SCA screenshots</w:t>
            </w:r>
          </w:p>
        </w:tc>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`evidence/screenshots/01` and `02`</w:t>
            </w:r>
          </w:p>
        </w:tc>
      </w:tr>
      <w:tr>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CVE description</w:t>
            </w:r>
          </w:p>
        </w:tc>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Selected vulnerability section</w:t>
            </w:r>
          </w:p>
        </w:tc>
      </w:tr>
      <w:tr>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Reproduction evidence</w:t>
            </w:r>
          </w:p>
        </w:tc>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Evidence 07 and 08</w:t>
            </w:r>
          </w:p>
        </w:tc>
      </w:tr>
      <w:tr>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Root-cause analysis</w:t>
            </w:r>
          </w:p>
        </w:tc>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Reproduction and root cause section</w:t>
            </w:r>
          </w:p>
        </w:tc>
      </w:tr>
      <w:tr>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Fix description</w:t>
            </w:r>
          </w:p>
        </w:tc>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Fix and verification section</w:t>
            </w:r>
          </w:p>
        </w:tc>
      </w:tr>
      <w:tr>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Fixed-version proof</w:t>
            </w:r>
          </w:p>
        </w:tc>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Evidence 09</w:t>
            </w:r>
          </w:p>
        </w:tc>
      </w:tr>
      <w:tr>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Successful pipeline</w:t>
            </w:r>
          </w:p>
        </w:tc>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tcPr>
          <w:p>
            <w:pPr>
              <w:spacing w:after="0"/>
            </w:pPr>
            <w:r>
              <w:rPr>
                <w:sz w:val="18"/>
              </w:rPr>
              <w:t>https://github.com/twq0316/work1-secure-rest-api/actions/runs/39366903218</w:t>
            </w:r>
          </w:p>
        </w:tc>
      </w:tr>
      <w:tr>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Fix folder</w:t>
            </w:r>
          </w:p>
        </w:tc>
        <w:tc>
          <w:tcPr>
            <w:tcW w:type="dxa" w:w="4608"/>
            <w:vAlign w:val="center"/>
            <w:tcBorders>
              <w:top w:val="single" w:sz="6" w:color="D9D9D9"/>
              <w:left w:val="single" w:sz="6" w:color="D9D9D9"/>
              <w:bottom w:val="single" w:sz="6" w:color="D9D9D9"/>
              <w:right w:val="single" w:sz="6" w:color="D9D9D9"/>
            </w:tcBorders>
            <w:tcMar>
              <w:top w:w="100" w:type="dxa"/>
              <w:start w:w="100" w:type="dxa"/>
              <w:bottom w:w="100" w:type="dxa"/>
              <w:end w:w="100" w:type="dxa"/>
            </w:tcMar>
            <w:shd w:fill="EAF2F5"/>
          </w:tcPr>
          <w:p>
            <w:pPr>
              <w:spacing w:after="0"/>
            </w:pPr>
            <w:r>
              <w:rPr>
                <w:sz w:val="18"/>
              </w:rPr>
              <w:t>`cve/CVE-2019-14234/fix`</w:t>
            </w:r>
          </w:p>
        </w:tc>
      </w:tr>
    </w:tbl>
    <w:p>
      <w:pPr>
        <w:spacing w:after="0"/>
      </w:pPr>
    </w:p>
    <w:sectPr w:rsidR="00FC693F" w:rsidRPr="0006063C" w:rsidSect="00034616">
      <w:footerReference w:type="default" r:id="rId9"/>
      <w:pgSz w:w="12240" w:h="15840"/>
      <w:pgMar w:top="1123" w:right="1238" w:bottom="1066"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Work 1  |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7" w:lineRule="auto"/>
    </w:pPr>
    <w:rPr>
      <w:rFonts w:ascii="Calibri" w:hAnsi="Calibr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Calibri" w:hAnsi="Calibri" w:eastAsia="Microsoft YaHe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ind w:left="259" w:right="259"/>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REST API Development with CI/CD and Real CVE Vulnerability Analysis</dc:title>
  <dc:subject>HDU Information Security Work 1 report</dc:subject>
  <dc:creator>Student</dc:creator>
  <cp:keywords/>
  <dc:description>generated by python-docx</dc:description>
  <cp:lastModifiedBy/>
  <cp:revision>1</cp:revision>
  <dcterms:created xsi:type="dcterms:W3CDTF">2013-12-23T23:15:00Z</dcterms:created>
  <dcterms:modified xsi:type="dcterms:W3CDTF">2013-12-23T23:15:00Z</dcterms:modified>
  <cp:category/>
</cp:coreProperties>
</file>