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Tof gilled mushrooms in the Aghe dataset includes descriptions of hypothetical samples corresponding to 23 species 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aim of this problem is to identify the poisonous and edible 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evaluation matrix is (number of correct predictions/ total number of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we are looking for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Original and creative approach</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Visualizations and Inferences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Well commented code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Proper 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 can code in any language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Only github links will be entertained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Mail your github link to </w:t>
      </w:r>
      <w:hyperlink r:id="rId5">
        <w:r w:rsidDel="00000000" w:rsidR="00000000" w:rsidRPr="00000000">
          <w:rPr>
            <w:color w:val="1155cc"/>
            <w:sz w:val="24"/>
            <w:szCs w:val="24"/>
            <w:u w:val="single"/>
            <w:rtl w:val="0"/>
          </w:rPr>
          <w:t xml:space="preserve">iitrdsg@gmail.com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Readme is mandatory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Make proper assumptions wherever required and mention them in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Top submissions get direct entry in the interview stage of DSG Recruitments.</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itrdsg@gmail.com" TargetMode="External"/></Relationships>
</file>