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NH Business Enterprise Tax — Credit Carryforward Backfill</w:t>
      </w:r>
    </w:p>
    <w:p>
      <w:pPr>
        <w:spacing w:after="40"/>
      </w:pPr>
      <w:r>
        <w:rPr>
          <w:color w:val="404040"/>
          <w:sz w:val="24"/>
          <w:szCs w:val="24"/>
        </w:rPr>
        <w:t xml:space="preserve">Missing Carryforward Years 2015 – 2021</w:t>
      </w:r>
    </w:p>
    <w:p>
      <w:pPr>
        <w:spacing w:after="60"/>
      </w:pPr>
      <w:r>
        <w:rPr>
          <w:i/>
          <w:iCs/>
          <w:color w:val="595959"/>
          <w:sz w:val="19"/>
          <w:szCs w:val="19"/>
        </w:rPr>
        <w:t xml:space="preserve">Workpaper supporting the 2025 NH BET Credit Worksheet (Version 2, 08/2025)</w:t>
      </w:r>
    </w:p>
    <w:p>
      <w:pPr>
        <w:pBdr>
          <w:bottom w:val="single" w:color="1F3864" w:sz="8" w:space="1"/>
        </w:pBdr>
        <w:spacing w:after="200" w:before="60"/>
      </w:pPr>
      <w:r>
        <w:rPr>
          <w:sz w:val="2"/>
          <w:szCs w:val="2"/>
        </w:rPr>
        <w:t xml:space="preserve"/>
      </w:r>
    </w:p>
    <w:p>
      <w:pPr>
        <w:pStyle w:val="Heading2"/>
        <w:spacing w:after="140" w:before="300"/>
      </w:pPr>
      <w:r>
        <w:rPr>
          <w:b/>
          <w:bCs/>
          <w:color w:val="1F3864"/>
          <w:sz w:val="24"/>
          <w:szCs w:val="24"/>
        </w:rPr>
        <w:t xml:space="preserve">1.  Credits reported on the filed 2025 worksheet</w:t>
      </w:r>
    </w:p>
    <w:p>
      <w:pPr>
        <w:spacing w:after="120" w:before="0"/>
      </w:pPr>
      <w:r>
        <w:rPr>
          <w:sz w:val="21"/>
          <w:szCs w:val="21"/>
        </w:rPr>
        <w:t xml:space="preserve">Line 1 (BPT) is zero and Line 2 is zero, so no credit is absorbed — every year sits as an unused carryforward. Lines 4 through 10, tax years 2015 through 2021, are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280"/>
        <w:gridCol w:w="1740"/>
        <w:gridCol w:w="1740"/>
      </w:tblGrid>
      <w:tr>
        <w:trPr>
          <w:tblHeader/>
        </w:trPr>
        <w:tc>
          <w:tcPr>
            <w:tcW w:type="dxa" w:w="2100"/>
            <w:shd w:fill="D9E2F3" w:color="auto" w:val="clear"/>
            <w:tcMar>
              <w:top w:type="dxa" w:w="60"/>
              <w:left w:type="dxa" w:w="100"/>
              <w:bottom w:type="dxa" w:w="60"/>
              <w:right w:type="dxa" w:w="100"/>
            </w:tcMar>
          </w:tcPr>
          <w:p>
            <w:pPr>
              <w:spacing w:after="0" w:before="0"/>
              <w:jc w:val="left"/>
            </w:pPr>
            <w:r>
              <w:rPr>
                <w:b/>
                <w:bCs/>
                <w:i w:val="false"/>
                <w:iCs w:val="false"/>
                <w:sz w:val="20"/>
                <w:szCs w:val="20"/>
              </w:rPr>
              <w:t xml:space="preserve">Worksheet line</w:t>
            </w:r>
          </w:p>
        </w:tc>
        <w:tc>
          <w:tcPr>
            <w:tcW w:type="dxa" w:w="150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Tax year</w:t>
            </w:r>
          </w:p>
        </w:tc>
        <w:tc>
          <w:tcPr>
            <w:tcW w:type="dxa" w:w="228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Col. A available</w:t>
            </w:r>
          </w:p>
        </w:tc>
        <w:tc>
          <w:tcPr>
            <w:tcW w:type="dxa" w:w="174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Col. B applied</w:t>
            </w:r>
          </w:p>
        </w:tc>
        <w:tc>
          <w:tcPr>
            <w:tcW w:type="dxa" w:w="174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Col. C excess</w:t>
            </w:r>
          </w:p>
        </w:tc>
      </w:tr>
      <w:tr>
        <w:tc>
          <w:tcPr>
            <w:tcW w:type="dxa" w:w="2100"/>
            <w:tcMar>
              <w:top w:type="dxa" w:w="60"/>
              <w:left w:type="dxa" w:w="100"/>
              <w:bottom w:type="dxa" w:w="60"/>
              <w:right w:type="dxa" w:w="100"/>
            </w:tcMar>
          </w:tcPr>
          <w:p>
            <w:pPr>
              <w:spacing w:after="0" w:before="0"/>
              <w:jc w:val="left"/>
            </w:pPr>
            <w:r>
              <w:rPr>
                <w:b w:val="false"/>
                <w:bCs w:val="false"/>
                <w:i w:val="false"/>
                <w:iCs w:val="false"/>
                <w:sz w:val="20"/>
                <w:szCs w:val="20"/>
              </w:rPr>
              <w:t xml:space="preserve">3 — current period</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2025</w:t>
            </w:r>
          </w:p>
        </w:tc>
        <w:tc>
          <w:tcPr>
            <w:tcW w:type="dxa" w:w="2280"/>
            <w:tcMar>
              <w:top w:type="dxa" w:w="60"/>
              <w:left w:type="dxa" w:w="100"/>
              <w:bottom w:type="dxa" w:w="60"/>
              <w:right w:type="dxa" w:w="100"/>
            </w:tcMar>
          </w:tcPr>
          <w:p>
            <w:pPr>
              <w:spacing w:after="0" w:before="0"/>
              <w:jc w:val="right"/>
            </w:pPr>
            <w:r>
              <w:rPr>
                <w:b w:val="false"/>
                <w:bCs w:val="false"/>
                <w:i w:val="false"/>
                <w:iCs w:val="false"/>
                <w:sz w:val="20"/>
                <w:szCs w:val="20"/>
              </w:rPr>
              <w:t xml:space="preserve">1,762</w:t>
            </w:r>
          </w:p>
        </w:tc>
        <w:tc>
          <w:tcPr>
            <w:tcW w:type="dxa" w:w="1740"/>
            <w:tcMar>
              <w:top w:type="dxa" w:w="60"/>
              <w:left w:type="dxa" w:w="100"/>
              <w:bottom w:type="dxa" w:w="60"/>
              <w:right w:type="dxa" w:w="100"/>
            </w:tcMar>
          </w:tcPr>
          <w:p>
            <w:pPr>
              <w:spacing w:after="0" w:before="0"/>
              <w:jc w:val="right"/>
            </w:pPr>
            <w:r>
              <w:rPr>
                <w:b w:val="false"/>
                <w:bCs w:val="false"/>
                <w:i w:val="false"/>
                <w:iCs w:val="false"/>
                <w:sz w:val="20"/>
                <w:szCs w:val="20"/>
              </w:rPr>
              <w:t xml:space="preserve">0</w:t>
            </w:r>
          </w:p>
        </w:tc>
        <w:tc>
          <w:tcPr>
            <w:tcW w:type="dxa" w:w="1740"/>
            <w:tcMar>
              <w:top w:type="dxa" w:w="60"/>
              <w:left w:type="dxa" w:w="100"/>
              <w:bottom w:type="dxa" w:w="60"/>
              <w:right w:type="dxa" w:w="100"/>
            </w:tcMar>
          </w:tcPr>
          <w:p>
            <w:pPr>
              <w:spacing w:after="0" w:before="0"/>
              <w:jc w:val="right"/>
            </w:pPr>
            <w:r>
              <w:rPr>
                <w:b w:val="false"/>
                <w:bCs w:val="false"/>
                <w:i w:val="false"/>
                <w:iCs w:val="false"/>
                <w:sz w:val="20"/>
                <w:szCs w:val="20"/>
              </w:rPr>
              <w:t xml:space="preserve">1,762</w:t>
            </w:r>
          </w:p>
        </w:tc>
      </w:tr>
      <w:tr>
        <w:tc>
          <w:tcPr>
            <w:tcW w:type="dxa" w:w="2100"/>
            <w:shd w:fill="F2F2F2" w:color="auto" w:val="clear"/>
            <w:tcMar>
              <w:top w:type="dxa" w:w="60"/>
              <w:left w:type="dxa" w:w="100"/>
              <w:bottom w:type="dxa" w:w="60"/>
              <w:right w:type="dxa" w:w="100"/>
            </w:tcMar>
          </w:tcPr>
          <w:p>
            <w:pPr>
              <w:spacing w:after="0" w:before="0"/>
              <w:jc w:val="left"/>
            </w:pPr>
            <w:r>
              <w:rPr>
                <w:b w:val="false"/>
                <w:bCs w:val="false"/>
                <w:i/>
                <w:iCs/>
                <w:sz w:val="20"/>
                <w:szCs w:val="20"/>
              </w:rPr>
              <w:t xml:space="preserve">4 — tenth prior</w:t>
            </w:r>
          </w:p>
        </w:tc>
        <w:tc>
          <w:tcPr>
            <w:tcW w:type="dxa" w:w="150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2015</w:t>
            </w:r>
          </w:p>
        </w:tc>
        <w:tc>
          <w:tcPr>
            <w:tcW w:type="dxa" w:w="228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tcMar>
              <w:top w:type="dxa" w:w="60"/>
              <w:left w:type="dxa" w:w="100"/>
              <w:bottom w:type="dxa" w:w="60"/>
              <w:right w:type="dxa" w:w="100"/>
            </w:tcMar>
          </w:tcPr>
          <w:p>
            <w:pPr>
              <w:spacing w:after="0" w:before="0"/>
              <w:jc w:val="left"/>
            </w:pPr>
            <w:r>
              <w:rPr>
                <w:b w:val="false"/>
                <w:bCs w:val="false"/>
                <w:i/>
                <w:iCs/>
                <w:sz w:val="20"/>
                <w:szCs w:val="20"/>
              </w:rPr>
              <w:t xml:space="preserve">5 — ninth prior</w:t>
            </w:r>
          </w:p>
        </w:tc>
        <w:tc>
          <w:tcPr>
            <w:tcW w:type="dxa" w:w="1500"/>
            <w:tcMar>
              <w:top w:type="dxa" w:w="60"/>
              <w:left w:type="dxa" w:w="100"/>
              <w:bottom w:type="dxa" w:w="60"/>
              <w:right w:type="dxa" w:w="100"/>
            </w:tcMar>
          </w:tcPr>
          <w:p>
            <w:pPr>
              <w:spacing w:after="0" w:before="0"/>
              <w:jc w:val="right"/>
            </w:pPr>
            <w:r>
              <w:rPr>
                <w:b w:val="false"/>
                <w:bCs w:val="false"/>
                <w:i/>
                <w:iCs/>
                <w:sz w:val="20"/>
                <w:szCs w:val="20"/>
              </w:rPr>
              <w:t xml:space="preserve">2016</w:t>
            </w:r>
          </w:p>
        </w:tc>
        <w:tc>
          <w:tcPr>
            <w:tcW w:type="dxa" w:w="2280"/>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shd w:fill="F2F2F2" w:color="auto" w:val="clear"/>
            <w:tcMar>
              <w:top w:type="dxa" w:w="60"/>
              <w:left w:type="dxa" w:w="100"/>
              <w:bottom w:type="dxa" w:w="60"/>
              <w:right w:type="dxa" w:w="100"/>
            </w:tcMar>
          </w:tcPr>
          <w:p>
            <w:pPr>
              <w:spacing w:after="0" w:before="0"/>
              <w:jc w:val="left"/>
            </w:pPr>
            <w:r>
              <w:rPr>
                <w:b w:val="false"/>
                <w:bCs w:val="false"/>
                <w:i/>
                <w:iCs/>
                <w:sz w:val="20"/>
                <w:szCs w:val="20"/>
              </w:rPr>
              <w:t xml:space="preserve">6 — eighth prior</w:t>
            </w:r>
          </w:p>
        </w:tc>
        <w:tc>
          <w:tcPr>
            <w:tcW w:type="dxa" w:w="150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2017</w:t>
            </w:r>
          </w:p>
        </w:tc>
        <w:tc>
          <w:tcPr>
            <w:tcW w:type="dxa" w:w="228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tcMar>
              <w:top w:type="dxa" w:w="60"/>
              <w:left w:type="dxa" w:w="100"/>
              <w:bottom w:type="dxa" w:w="60"/>
              <w:right w:type="dxa" w:w="100"/>
            </w:tcMar>
          </w:tcPr>
          <w:p>
            <w:pPr>
              <w:spacing w:after="0" w:before="0"/>
              <w:jc w:val="left"/>
            </w:pPr>
            <w:r>
              <w:rPr>
                <w:b w:val="false"/>
                <w:bCs w:val="false"/>
                <w:i/>
                <w:iCs/>
                <w:sz w:val="20"/>
                <w:szCs w:val="20"/>
              </w:rPr>
              <w:t xml:space="preserve">7 — seventh prior</w:t>
            </w:r>
          </w:p>
        </w:tc>
        <w:tc>
          <w:tcPr>
            <w:tcW w:type="dxa" w:w="1500"/>
            <w:tcMar>
              <w:top w:type="dxa" w:w="60"/>
              <w:left w:type="dxa" w:w="100"/>
              <w:bottom w:type="dxa" w:w="60"/>
              <w:right w:type="dxa" w:w="100"/>
            </w:tcMar>
          </w:tcPr>
          <w:p>
            <w:pPr>
              <w:spacing w:after="0" w:before="0"/>
              <w:jc w:val="right"/>
            </w:pPr>
            <w:r>
              <w:rPr>
                <w:b w:val="false"/>
                <w:bCs w:val="false"/>
                <w:i/>
                <w:iCs/>
                <w:sz w:val="20"/>
                <w:szCs w:val="20"/>
              </w:rPr>
              <w:t xml:space="preserve">2018</w:t>
            </w:r>
          </w:p>
        </w:tc>
        <w:tc>
          <w:tcPr>
            <w:tcW w:type="dxa" w:w="2280"/>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shd w:fill="F2F2F2" w:color="auto" w:val="clear"/>
            <w:tcMar>
              <w:top w:type="dxa" w:w="60"/>
              <w:left w:type="dxa" w:w="100"/>
              <w:bottom w:type="dxa" w:w="60"/>
              <w:right w:type="dxa" w:w="100"/>
            </w:tcMar>
          </w:tcPr>
          <w:p>
            <w:pPr>
              <w:spacing w:after="0" w:before="0"/>
              <w:jc w:val="left"/>
            </w:pPr>
            <w:r>
              <w:rPr>
                <w:b w:val="false"/>
                <w:bCs w:val="false"/>
                <w:i/>
                <w:iCs/>
                <w:sz w:val="20"/>
                <w:szCs w:val="20"/>
              </w:rPr>
              <w:t xml:space="preserve">8 — sixth prior</w:t>
            </w:r>
          </w:p>
        </w:tc>
        <w:tc>
          <w:tcPr>
            <w:tcW w:type="dxa" w:w="150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2019</w:t>
            </w:r>
          </w:p>
        </w:tc>
        <w:tc>
          <w:tcPr>
            <w:tcW w:type="dxa" w:w="228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tcMar>
              <w:top w:type="dxa" w:w="60"/>
              <w:left w:type="dxa" w:w="100"/>
              <w:bottom w:type="dxa" w:w="60"/>
              <w:right w:type="dxa" w:w="100"/>
            </w:tcMar>
          </w:tcPr>
          <w:p>
            <w:pPr>
              <w:spacing w:after="0" w:before="0"/>
              <w:jc w:val="left"/>
            </w:pPr>
            <w:r>
              <w:rPr>
                <w:b w:val="false"/>
                <w:bCs w:val="false"/>
                <w:i/>
                <w:iCs/>
                <w:sz w:val="20"/>
                <w:szCs w:val="20"/>
              </w:rPr>
              <w:t xml:space="preserve">9 — fifth prior</w:t>
            </w:r>
          </w:p>
        </w:tc>
        <w:tc>
          <w:tcPr>
            <w:tcW w:type="dxa" w:w="1500"/>
            <w:tcMar>
              <w:top w:type="dxa" w:w="60"/>
              <w:left w:type="dxa" w:w="100"/>
              <w:bottom w:type="dxa" w:w="60"/>
              <w:right w:type="dxa" w:w="100"/>
            </w:tcMar>
          </w:tcPr>
          <w:p>
            <w:pPr>
              <w:spacing w:after="0" w:before="0"/>
              <w:jc w:val="right"/>
            </w:pPr>
            <w:r>
              <w:rPr>
                <w:b w:val="false"/>
                <w:bCs w:val="false"/>
                <w:i/>
                <w:iCs/>
                <w:sz w:val="20"/>
                <w:szCs w:val="20"/>
              </w:rPr>
              <w:t xml:space="preserve">2020</w:t>
            </w:r>
          </w:p>
        </w:tc>
        <w:tc>
          <w:tcPr>
            <w:tcW w:type="dxa" w:w="2280"/>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shd w:fill="F2F2F2" w:color="auto" w:val="clear"/>
            <w:tcMar>
              <w:top w:type="dxa" w:w="60"/>
              <w:left w:type="dxa" w:w="100"/>
              <w:bottom w:type="dxa" w:w="60"/>
              <w:right w:type="dxa" w:w="100"/>
            </w:tcMar>
          </w:tcPr>
          <w:p>
            <w:pPr>
              <w:spacing w:after="0" w:before="0"/>
              <w:jc w:val="left"/>
            </w:pPr>
            <w:r>
              <w:rPr>
                <w:b w:val="false"/>
                <w:bCs w:val="false"/>
                <w:i/>
                <w:iCs/>
                <w:sz w:val="20"/>
                <w:szCs w:val="20"/>
              </w:rPr>
              <w:t xml:space="preserve">10 — fourth prior</w:t>
            </w:r>
          </w:p>
        </w:tc>
        <w:tc>
          <w:tcPr>
            <w:tcW w:type="dxa" w:w="150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2021</w:t>
            </w:r>
          </w:p>
        </w:tc>
        <w:tc>
          <w:tcPr>
            <w:tcW w:type="dxa" w:w="228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 blank —</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c>
          <w:tcPr>
            <w:tcW w:type="dxa" w:w="1740"/>
            <w:shd w:fill="F2F2F2" w:color="auto" w:val="clear"/>
            <w:tcMar>
              <w:top w:type="dxa" w:w="60"/>
              <w:left w:type="dxa" w:w="100"/>
              <w:bottom w:type="dxa" w:w="60"/>
              <w:right w:type="dxa" w:w="100"/>
            </w:tcMar>
          </w:tcPr>
          <w:p>
            <w:pPr>
              <w:spacing w:after="0" w:before="0"/>
              <w:jc w:val="right"/>
            </w:pPr>
            <w:r>
              <w:rPr>
                <w:b w:val="false"/>
                <w:bCs w:val="false"/>
                <w:i/>
                <w:iCs/>
                <w:sz w:val="20"/>
                <w:szCs w:val="20"/>
              </w:rPr>
              <w:t xml:space="preserve">—</w:t>
            </w:r>
          </w:p>
        </w:tc>
      </w:tr>
      <w:tr>
        <w:tc>
          <w:tcPr>
            <w:tcW w:type="dxa" w:w="2100"/>
            <w:tcMar>
              <w:top w:type="dxa" w:w="60"/>
              <w:left w:type="dxa" w:w="100"/>
              <w:bottom w:type="dxa" w:w="60"/>
              <w:right w:type="dxa" w:w="100"/>
            </w:tcMar>
          </w:tcPr>
          <w:p>
            <w:pPr>
              <w:spacing w:after="0" w:before="0"/>
              <w:jc w:val="left"/>
            </w:pPr>
            <w:r>
              <w:rPr>
                <w:b w:val="false"/>
                <w:bCs w:val="false"/>
                <w:i w:val="false"/>
                <w:iCs w:val="false"/>
                <w:sz w:val="20"/>
                <w:szCs w:val="20"/>
              </w:rPr>
              <w:t xml:space="preserve">11 — third prior</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2022</w:t>
            </w:r>
          </w:p>
        </w:tc>
        <w:tc>
          <w:tcPr>
            <w:tcW w:type="dxa" w:w="2280"/>
            <w:tcMar>
              <w:top w:type="dxa" w:w="60"/>
              <w:left w:type="dxa" w:w="100"/>
              <w:bottom w:type="dxa" w:w="60"/>
              <w:right w:type="dxa" w:w="100"/>
            </w:tcMar>
          </w:tcPr>
          <w:p>
            <w:pPr>
              <w:spacing w:after="0" w:before="0"/>
              <w:jc w:val="right"/>
            </w:pPr>
            <w:r>
              <w:rPr>
                <w:b w:val="false"/>
                <w:bCs w:val="false"/>
                <w:i w:val="false"/>
                <w:iCs w:val="false"/>
                <w:sz w:val="20"/>
                <w:szCs w:val="20"/>
              </w:rPr>
              <w:t xml:space="preserve">1,506</w:t>
            </w:r>
          </w:p>
        </w:tc>
        <w:tc>
          <w:tcPr>
            <w:tcW w:type="dxa" w:w="1740"/>
            <w:tcMar>
              <w:top w:type="dxa" w:w="60"/>
              <w:left w:type="dxa" w:w="100"/>
              <w:bottom w:type="dxa" w:w="60"/>
              <w:right w:type="dxa" w:w="100"/>
            </w:tcMar>
          </w:tcPr>
          <w:p>
            <w:pPr>
              <w:spacing w:after="0" w:before="0"/>
              <w:jc w:val="right"/>
            </w:pPr>
            <w:r>
              <w:rPr>
                <w:b w:val="false"/>
                <w:bCs w:val="false"/>
                <w:i w:val="false"/>
                <w:iCs w:val="false"/>
                <w:sz w:val="20"/>
                <w:szCs w:val="20"/>
              </w:rPr>
              <w:t xml:space="preserve">0</w:t>
            </w:r>
          </w:p>
        </w:tc>
        <w:tc>
          <w:tcPr>
            <w:tcW w:type="dxa" w:w="1740"/>
            <w:tcMar>
              <w:top w:type="dxa" w:w="60"/>
              <w:left w:type="dxa" w:w="100"/>
              <w:bottom w:type="dxa" w:w="60"/>
              <w:right w:type="dxa" w:w="100"/>
            </w:tcMar>
          </w:tcPr>
          <w:p>
            <w:pPr>
              <w:spacing w:after="0" w:before="0"/>
              <w:jc w:val="right"/>
            </w:pPr>
            <w:r>
              <w:rPr>
                <w:b w:val="false"/>
                <w:bCs w:val="false"/>
                <w:i w:val="false"/>
                <w:iCs w:val="false"/>
                <w:sz w:val="20"/>
                <w:szCs w:val="20"/>
              </w:rPr>
              <w:t xml:space="preserve">1,506</w:t>
            </w:r>
          </w:p>
        </w:tc>
      </w:tr>
      <w:tr>
        <w:tc>
          <w:tcPr>
            <w:tcW w:type="dxa" w:w="21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12 — second prior</w:t>
            </w:r>
          </w:p>
        </w:tc>
        <w:tc>
          <w:tcPr>
            <w:tcW w:type="dxa" w:w="15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2023</w:t>
            </w:r>
          </w:p>
        </w:tc>
        <w:tc>
          <w:tcPr>
            <w:tcW w:type="dxa" w:w="228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1,956</w:t>
            </w:r>
          </w:p>
        </w:tc>
        <w:tc>
          <w:tcPr>
            <w:tcW w:type="dxa" w:w="174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w:t>
            </w:r>
          </w:p>
        </w:tc>
        <w:tc>
          <w:tcPr>
            <w:tcW w:type="dxa" w:w="174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1,956</w:t>
            </w:r>
          </w:p>
        </w:tc>
      </w:tr>
      <w:tr>
        <w:tc>
          <w:tcPr>
            <w:tcW w:type="dxa" w:w="2100"/>
            <w:tcMar>
              <w:top w:type="dxa" w:w="60"/>
              <w:left w:type="dxa" w:w="100"/>
              <w:bottom w:type="dxa" w:w="60"/>
              <w:right w:type="dxa" w:w="100"/>
            </w:tcMar>
          </w:tcPr>
          <w:p>
            <w:pPr>
              <w:spacing w:after="0" w:before="0"/>
              <w:jc w:val="left"/>
            </w:pPr>
            <w:r>
              <w:rPr>
                <w:b w:val="false"/>
                <w:bCs w:val="false"/>
                <w:i w:val="false"/>
                <w:iCs w:val="false"/>
                <w:sz w:val="20"/>
                <w:szCs w:val="20"/>
              </w:rPr>
              <w:t xml:space="preserve">13 — first prior</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2024</w:t>
            </w:r>
          </w:p>
        </w:tc>
        <w:tc>
          <w:tcPr>
            <w:tcW w:type="dxa" w:w="2280"/>
            <w:tcMar>
              <w:top w:type="dxa" w:w="60"/>
              <w:left w:type="dxa" w:w="100"/>
              <w:bottom w:type="dxa" w:w="60"/>
              <w:right w:type="dxa" w:w="100"/>
            </w:tcMar>
          </w:tcPr>
          <w:p>
            <w:pPr>
              <w:spacing w:after="0" w:before="0"/>
              <w:jc w:val="right"/>
            </w:pPr>
            <w:r>
              <w:rPr>
                <w:b w:val="false"/>
                <w:bCs w:val="false"/>
                <w:i w:val="false"/>
                <w:iCs w:val="false"/>
                <w:sz w:val="20"/>
                <w:szCs w:val="20"/>
              </w:rPr>
              <w:t xml:space="preserve">1,445</w:t>
            </w:r>
          </w:p>
        </w:tc>
        <w:tc>
          <w:tcPr>
            <w:tcW w:type="dxa" w:w="1740"/>
            <w:tcMar>
              <w:top w:type="dxa" w:w="60"/>
              <w:left w:type="dxa" w:w="100"/>
              <w:bottom w:type="dxa" w:w="60"/>
              <w:right w:type="dxa" w:w="100"/>
            </w:tcMar>
          </w:tcPr>
          <w:p>
            <w:pPr>
              <w:spacing w:after="0" w:before="0"/>
              <w:jc w:val="right"/>
            </w:pPr>
            <w:r>
              <w:rPr>
                <w:b w:val="false"/>
                <w:bCs w:val="false"/>
                <w:i w:val="false"/>
                <w:iCs w:val="false"/>
                <w:sz w:val="20"/>
                <w:szCs w:val="20"/>
              </w:rPr>
              <w:t xml:space="preserve">0</w:t>
            </w:r>
          </w:p>
        </w:tc>
        <w:tc>
          <w:tcPr>
            <w:tcW w:type="dxa" w:w="1740"/>
            <w:tcMar>
              <w:top w:type="dxa" w:w="60"/>
              <w:left w:type="dxa" w:w="100"/>
              <w:bottom w:type="dxa" w:w="60"/>
              <w:right w:type="dxa" w:w="100"/>
            </w:tcMar>
          </w:tcPr>
          <w:p>
            <w:pPr>
              <w:spacing w:after="0" w:before="0"/>
              <w:jc w:val="right"/>
            </w:pPr>
            <w:r>
              <w:rPr>
                <w:b w:val="false"/>
                <w:bCs w:val="false"/>
                <w:i w:val="false"/>
                <w:iCs w:val="false"/>
                <w:sz w:val="20"/>
                <w:szCs w:val="20"/>
              </w:rPr>
              <w:t xml:space="preserve">1,445</w:t>
            </w:r>
          </w:p>
        </w:tc>
      </w:tr>
    </w:tbl>
    <w:p>
      <w:pPr>
        <w:pStyle w:val="Heading2"/>
        <w:spacing w:after="140" w:before="300"/>
      </w:pPr>
      <w:r>
        <w:rPr>
          <w:b/>
          <w:bCs/>
          <w:color w:val="1F3864"/>
          <w:sz w:val="24"/>
          <w:szCs w:val="24"/>
        </w:rPr>
        <w:t xml:space="preserve">2.  Assumptions</w:t>
      </w:r>
    </w:p>
    <w:p>
      <w:pPr>
        <w:pStyle w:val="ListParagraph"/>
        <w:numPr>
          <w:ilvl w:val="0"/>
          <w:numId w:val="1"/>
        </w:numPr>
        <w:spacing w:after="100"/>
      </w:pPr>
      <w:r>
        <w:rPr>
          <w:sz w:val="21"/>
          <w:szCs w:val="21"/>
        </w:rPr>
        <w:t xml:space="preserve">2023 wage base per client: $263,000.</w:t>
      </w:r>
    </w:p>
    <w:p>
      <w:pPr>
        <w:pStyle w:val="ListParagraph"/>
        <w:numPr>
          <w:ilvl w:val="0"/>
          <w:numId w:val="1"/>
        </w:numPr>
        <w:spacing w:after="100"/>
      </w:pPr>
      <w:r>
        <w:rPr>
          <w:sz w:val="21"/>
          <w:szCs w:val="21"/>
        </w:rPr>
        <w:t xml:space="preserve">Wages deflated backward at 3.0% per year, compounded:  base(y) = 263,000 ÷ 1.03^(2023 − y).</w:t>
      </w:r>
    </w:p>
    <w:p>
      <w:pPr>
        <w:pStyle w:val="ListParagraph"/>
        <w:numPr>
          <w:ilvl w:val="0"/>
          <w:numId w:val="1"/>
        </w:numPr>
        <w:spacing w:after="100"/>
      </w:pPr>
      <w:r>
        <w:rPr>
          <w:sz w:val="21"/>
          <w:szCs w:val="21"/>
        </w:rPr>
        <w:t xml:space="preserve">BET rate applied is the statutory rate in effect for each taxable period under RSA 77-E:2.</w:t>
      </w:r>
    </w:p>
    <w:p>
      <w:pPr>
        <w:spacing w:after="100"/>
      </w:pPr>
      <w:r>
        <w:rPr>
          <w:b/>
          <w:bCs/>
          <w:sz w:val="21"/>
          <w:szCs w:val="21"/>
        </w:rPr>
        <w:t xml:space="preserve">BET statutory rate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60"/>
              <w:left w:type="dxa" w:w="100"/>
              <w:bottom w:type="dxa" w:w="60"/>
              <w:right w:type="dxa" w:w="100"/>
            </w:tcMar>
          </w:tcPr>
          <w:p>
            <w:pPr>
              <w:spacing w:after="0" w:before="0"/>
              <w:jc w:val="left"/>
            </w:pPr>
            <w:r>
              <w:rPr>
                <w:b/>
                <w:bCs/>
                <w:i w:val="false"/>
                <w:iCs w:val="false"/>
                <w:sz w:val="20"/>
                <w:szCs w:val="20"/>
              </w:rPr>
              <w:t xml:space="preserve">Taxable period</w:t>
            </w:r>
          </w:p>
        </w:tc>
        <w:tc>
          <w:tcPr>
            <w:tcW w:type="dxa" w:w="468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BET rate</w:t>
            </w:r>
          </w:p>
        </w:tc>
      </w:tr>
      <w:tr>
        <w:tc>
          <w:tcPr>
            <w:tcW w:type="dxa" w:w="4680"/>
            <w:tcMar>
              <w:top w:type="dxa" w:w="60"/>
              <w:left w:type="dxa" w:w="100"/>
              <w:bottom w:type="dxa" w:w="60"/>
              <w:right w:type="dxa" w:w="100"/>
            </w:tcMar>
          </w:tcPr>
          <w:p>
            <w:pPr>
              <w:spacing w:after="0" w:before="0"/>
              <w:jc w:val="left"/>
            </w:pPr>
            <w:r>
              <w:rPr>
                <w:b w:val="false"/>
                <w:bCs w:val="false"/>
                <w:i w:val="false"/>
                <w:iCs w:val="false"/>
                <w:sz w:val="20"/>
                <w:szCs w:val="20"/>
              </w:rPr>
              <w:t xml:space="preserve">2001 – 2015</w:t>
            </w:r>
          </w:p>
        </w:tc>
        <w:tc>
          <w:tcPr>
            <w:tcW w:type="dxa" w:w="4680"/>
            <w:tcMar>
              <w:top w:type="dxa" w:w="60"/>
              <w:left w:type="dxa" w:w="100"/>
              <w:bottom w:type="dxa" w:w="60"/>
              <w:right w:type="dxa" w:w="100"/>
            </w:tcMar>
          </w:tcPr>
          <w:p>
            <w:pPr>
              <w:spacing w:after="0" w:before="0"/>
              <w:jc w:val="right"/>
            </w:pPr>
            <w:r>
              <w:rPr>
                <w:b w:val="false"/>
                <w:bCs w:val="false"/>
                <w:i w:val="false"/>
                <w:iCs w:val="false"/>
                <w:sz w:val="20"/>
                <w:szCs w:val="20"/>
              </w:rPr>
              <w:t xml:space="preserve">0.750%</w:t>
            </w:r>
          </w:p>
        </w:tc>
      </w:tr>
      <w:tr>
        <w:tc>
          <w:tcPr>
            <w:tcW w:type="dxa" w:w="468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2016 – 2017</w:t>
            </w:r>
          </w:p>
        </w:tc>
        <w:tc>
          <w:tcPr>
            <w:tcW w:type="dxa" w:w="468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0.720%</w:t>
            </w:r>
          </w:p>
        </w:tc>
      </w:tr>
      <w:tr>
        <w:tc>
          <w:tcPr>
            <w:tcW w:type="dxa" w:w="4680"/>
            <w:tcMar>
              <w:top w:type="dxa" w:w="60"/>
              <w:left w:type="dxa" w:w="100"/>
              <w:bottom w:type="dxa" w:w="60"/>
              <w:right w:type="dxa" w:w="100"/>
            </w:tcMar>
          </w:tcPr>
          <w:p>
            <w:pPr>
              <w:spacing w:after="0" w:before="0"/>
              <w:jc w:val="left"/>
            </w:pPr>
            <w:r>
              <w:rPr>
                <w:b w:val="false"/>
                <w:bCs w:val="false"/>
                <w:i w:val="false"/>
                <w:iCs w:val="false"/>
                <w:sz w:val="20"/>
                <w:szCs w:val="20"/>
              </w:rPr>
              <w:t xml:space="preserve">2018</w:t>
            </w:r>
          </w:p>
        </w:tc>
        <w:tc>
          <w:tcPr>
            <w:tcW w:type="dxa" w:w="4680"/>
            <w:tcMar>
              <w:top w:type="dxa" w:w="60"/>
              <w:left w:type="dxa" w:w="100"/>
              <w:bottom w:type="dxa" w:w="60"/>
              <w:right w:type="dxa" w:w="100"/>
            </w:tcMar>
          </w:tcPr>
          <w:p>
            <w:pPr>
              <w:spacing w:after="0" w:before="0"/>
              <w:jc w:val="right"/>
            </w:pPr>
            <w:r>
              <w:rPr>
                <w:b w:val="false"/>
                <w:bCs w:val="false"/>
                <w:i w:val="false"/>
                <w:iCs w:val="false"/>
                <w:sz w:val="20"/>
                <w:szCs w:val="20"/>
              </w:rPr>
              <w:t xml:space="preserve">0.675%</w:t>
            </w:r>
          </w:p>
        </w:tc>
      </w:tr>
      <w:tr>
        <w:tc>
          <w:tcPr>
            <w:tcW w:type="dxa" w:w="468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2019 – 2021</w:t>
            </w:r>
          </w:p>
        </w:tc>
        <w:tc>
          <w:tcPr>
            <w:tcW w:type="dxa" w:w="468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r>
      <w:tr>
        <w:tc>
          <w:tcPr>
            <w:tcW w:type="dxa" w:w="4680"/>
            <w:tcMar>
              <w:top w:type="dxa" w:w="60"/>
              <w:left w:type="dxa" w:w="100"/>
              <w:bottom w:type="dxa" w:w="60"/>
              <w:right w:type="dxa" w:w="100"/>
            </w:tcMar>
          </w:tcPr>
          <w:p>
            <w:pPr>
              <w:spacing w:after="0" w:before="0"/>
              <w:jc w:val="left"/>
            </w:pPr>
            <w:r>
              <w:rPr>
                <w:b w:val="false"/>
                <w:bCs w:val="false"/>
                <w:i w:val="false"/>
                <w:iCs w:val="false"/>
                <w:sz w:val="20"/>
                <w:szCs w:val="20"/>
              </w:rPr>
              <w:t xml:space="preserve">2022 and later</w:t>
            </w:r>
          </w:p>
        </w:tc>
        <w:tc>
          <w:tcPr>
            <w:tcW w:type="dxa" w:w="4680"/>
            <w:tcMar>
              <w:top w:type="dxa" w:w="60"/>
              <w:left w:type="dxa" w:w="100"/>
              <w:bottom w:type="dxa" w:w="60"/>
              <w:right w:type="dxa" w:w="100"/>
            </w:tcMar>
          </w:tcPr>
          <w:p>
            <w:pPr>
              <w:spacing w:after="0" w:before="0"/>
              <w:jc w:val="right"/>
            </w:pPr>
            <w:r>
              <w:rPr>
                <w:b w:val="false"/>
                <w:bCs w:val="false"/>
                <w:i w:val="false"/>
                <w:iCs w:val="false"/>
                <w:sz w:val="20"/>
                <w:szCs w:val="20"/>
              </w:rPr>
              <w:t xml:space="preserve">0.550%</w:t>
            </w:r>
          </w:p>
        </w:tc>
      </w:tr>
    </w:tbl>
    <w:p>
      <w:pPr>
        <w:spacing w:after="0"/>
      </w:pPr>
      <w:r>
        <w:t xml:space="preserve"/>
      </w:r>
    </w:p>
    <w:p>
      <w:pPr>
        <w:pStyle w:val="Heading2"/>
        <w:spacing w:after="140" w:before="300"/>
      </w:pPr>
      <w:r>
        <w:rPr>
          <w:b/>
          <w:bCs/>
          <w:color w:val="1F3864"/>
          <w:sz w:val="24"/>
          <w:szCs w:val="24"/>
        </w:rPr>
        <w:t xml:space="preserve">3.  Backfilled missing credits — primary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000"/>
        <w:gridCol w:w="1500"/>
        <w:gridCol w:w="1900"/>
      </w:tblGrid>
      <w:tr>
        <w:trPr>
          <w:tblHeader/>
        </w:trPr>
        <w:tc>
          <w:tcPr>
            <w:tcW w:type="dxa" w:w="1400"/>
            <w:shd w:fill="D9E2F3" w:color="auto" w:val="clear"/>
            <w:tcMar>
              <w:top w:type="dxa" w:w="60"/>
              <w:left w:type="dxa" w:w="100"/>
              <w:bottom w:type="dxa" w:w="60"/>
              <w:right w:type="dxa" w:w="100"/>
            </w:tcMar>
          </w:tcPr>
          <w:p>
            <w:pPr>
              <w:spacing w:after="0" w:before="0"/>
              <w:jc w:val="left"/>
            </w:pPr>
            <w:r>
              <w:rPr>
                <w:b/>
                <w:bCs/>
                <w:i w:val="false"/>
                <w:iCs w:val="false"/>
                <w:sz w:val="20"/>
                <w:szCs w:val="20"/>
              </w:rPr>
              <w:t xml:space="preserve">Tax year</w:t>
            </w:r>
          </w:p>
        </w:tc>
        <w:tc>
          <w:tcPr>
            <w:tcW w:type="dxa" w:w="256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Worksheet line</w:t>
            </w:r>
          </w:p>
        </w:tc>
        <w:tc>
          <w:tcPr>
            <w:tcW w:type="dxa" w:w="200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Wage base @ 3%</w:t>
            </w:r>
          </w:p>
        </w:tc>
        <w:tc>
          <w:tcPr>
            <w:tcW w:type="dxa" w:w="150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BET rate</w:t>
            </w:r>
          </w:p>
        </w:tc>
        <w:tc>
          <w:tcPr>
            <w:tcW w:type="dxa" w:w="190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Backfilled credit</w:t>
            </w:r>
          </w:p>
        </w:tc>
      </w:tr>
      <w:tr>
        <w:tc>
          <w:tcPr>
            <w:tcW w:type="dxa" w:w="1400"/>
            <w:tcMar>
              <w:top w:type="dxa" w:w="60"/>
              <w:left w:type="dxa" w:w="100"/>
              <w:bottom w:type="dxa" w:w="60"/>
              <w:right w:type="dxa" w:w="100"/>
            </w:tcMar>
          </w:tcPr>
          <w:p>
            <w:pPr>
              <w:spacing w:after="0" w:before="0"/>
              <w:jc w:val="left"/>
            </w:pPr>
            <w:r>
              <w:rPr>
                <w:b w:val="false"/>
                <w:bCs w:val="false"/>
                <w:i w:val="false"/>
                <w:iCs w:val="false"/>
                <w:sz w:val="20"/>
                <w:szCs w:val="20"/>
              </w:rPr>
              <w:t xml:space="preserve">2015</w:t>
            </w:r>
          </w:p>
        </w:tc>
        <w:tc>
          <w:tcPr>
            <w:tcW w:type="dxa" w:w="2560"/>
            <w:tcMar>
              <w:top w:type="dxa" w:w="60"/>
              <w:left w:type="dxa" w:w="100"/>
              <w:bottom w:type="dxa" w:w="60"/>
              <w:right w:type="dxa" w:w="100"/>
            </w:tcMar>
          </w:tcPr>
          <w:p>
            <w:pPr>
              <w:spacing w:after="0" w:before="0"/>
              <w:jc w:val="right"/>
            </w:pPr>
            <w:r>
              <w:rPr>
                <w:b w:val="false"/>
                <w:bCs w:val="false"/>
                <w:i w:val="false"/>
                <w:iCs w:val="false"/>
                <w:sz w:val="20"/>
                <w:szCs w:val="20"/>
              </w:rPr>
              <w:t xml:space="preserve">4 — tenth prior</w:t>
            </w:r>
          </w:p>
        </w:tc>
        <w:tc>
          <w:tcPr>
            <w:tcW w:type="dxa" w:w="2000"/>
            <w:tcMar>
              <w:top w:type="dxa" w:w="60"/>
              <w:left w:type="dxa" w:w="100"/>
              <w:bottom w:type="dxa" w:w="60"/>
              <w:right w:type="dxa" w:w="100"/>
            </w:tcMar>
          </w:tcPr>
          <w:p>
            <w:pPr>
              <w:spacing w:after="0" w:before="0"/>
              <w:jc w:val="right"/>
            </w:pPr>
            <w:r>
              <w:rPr>
                <w:b w:val="false"/>
                <w:bCs w:val="false"/>
                <w:i w:val="false"/>
                <w:iCs w:val="false"/>
                <w:sz w:val="20"/>
                <w:szCs w:val="20"/>
              </w:rPr>
              <w:t xml:space="preserve">207,615</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0.750%</w:t>
            </w:r>
          </w:p>
        </w:tc>
        <w:tc>
          <w:tcPr>
            <w:tcW w:type="dxa" w:w="1900"/>
            <w:tcMar>
              <w:top w:type="dxa" w:w="60"/>
              <w:left w:type="dxa" w:w="100"/>
              <w:bottom w:type="dxa" w:w="60"/>
              <w:right w:type="dxa" w:w="100"/>
            </w:tcMar>
          </w:tcPr>
          <w:p>
            <w:pPr>
              <w:spacing w:after="0" w:before="0"/>
              <w:jc w:val="right"/>
            </w:pPr>
            <w:r>
              <w:rPr>
                <w:b w:val="false"/>
                <w:bCs w:val="false"/>
                <w:i w:val="false"/>
                <w:iCs w:val="false"/>
                <w:sz w:val="20"/>
                <w:szCs w:val="20"/>
              </w:rPr>
              <w:t xml:space="preserve">1,557</w:t>
            </w:r>
          </w:p>
        </w:tc>
      </w:tr>
      <w:tr>
        <w:tc>
          <w:tcPr>
            <w:tcW w:type="dxa" w:w="14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2016</w:t>
            </w:r>
          </w:p>
        </w:tc>
        <w:tc>
          <w:tcPr>
            <w:tcW w:type="dxa" w:w="256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5 — ninth prior</w:t>
            </w:r>
          </w:p>
        </w:tc>
        <w:tc>
          <w:tcPr>
            <w:tcW w:type="dxa" w:w="20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213,843</w:t>
            </w:r>
          </w:p>
        </w:tc>
        <w:tc>
          <w:tcPr>
            <w:tcW w:type="dxa" w:w="15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0.720%</w:t>
            </w:r>
          </w:p>
        </w:tc>
        <w:tc>
          <w:tcPr>
            <w:tcW w:type="dxa" w:w="19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1,540</w:t>
            </w:r>
          </w:p>
        </w:tc>
      </w:tr>
      <w:tr>
        <w:tc>
          <w:tcPr>
            <w:tcW w:type="dxa" w:w="1400"/>
            <w:tcMar>
              <w:top w:type="dxa" w:w="60"/>
              <w:left w:type="dxa" w:w="100"/>
              <w:bottom w:type="dxa" w:w="60"/>
              <w:right w:type="dxa" w:w="100"/>
            </w:tcMar>
          </w:tcPr>
          <w:p>
            <w:pPr>
              <w:spacing w:after="0" w:before="0"/>
              <w:jc w:val="left"/>
            </w:pPr>
            <w:r>
              <w:rPr>
                <w:b w:val="false"/>
                <w:bCs w:val="false"/>
                <w:i w:val="false"/>
                <w:iCs w:val="false"/>
                <w:sz w:val="20"/>
                <w:szCs w:val="20"/>
              </w:rPr>
              <w:t xml:space="preserve">2017</w:t>
            </w:r>
          </w:p>
        </w:tc>
        <w:tc>
          <w:tcPr>
            <w:tcW w:type="dxa" w:w="2560"/>
            <w:tcMar>
              <w:top w:type="dxa" w:w="60"/>
              <w:left w:type="dxa" w:w="100"/>
              <w:bottom w:type="dxa" w:w="60"/>
              <w:right w:type="dxa" w:w="100"/>
            </w:tcMar>
          </w:tcPr>
          <w:p>
            <w:pPr>
              <w:spacing w:after="0" w:before="0"/>
              <w:jc w:val="right"/>
            </w:pPr>
            <w:r>
              <w:rPr>
                <w:b w:val="false"/>
                <w:bCs w:val="false"/>
                <w:i w:val="false"/>
                <w:iCs w:val="false"/>
                <w:sz w:val="20"/>
                <w:szCs w:val="20"/>
              </w:rPr>
              <w:t xml:space="preserve">6 — eighth prior</w:t>
            </w:r>
          </w:p>
        </w:tc>
        <w:tc>
          <w:tcPr>
            <w:tcW w:type="dxa" w:w="2000"/>
            <w:tcMar>
              <w:top w:type="dxa" w:w="60"/>
              <w:left w:type="dxa" w:w="100"/>
              <w:bottom w:type="dxa" w:w="60"/>
              <w:right w:type="dxa" w:w="100"/>
            </w:tcMar>
          </w:tcPr>
          <w:p>
            <w:pPr>
              <w:spacing w:after="0" w:before="0"/>
              <w:jc w:val="right"/>
            </w:pPr>
            <w:r>
              <w:rPr>
                <w:b w:val="false"/>
                <w:bCs w:val="false"/>
                <w:i w:val="false"/>
                <w:iCs w:val="false"/>
                <w:sz w:val="20"/>
                <w:szCs w:val="20"/>
              </w:rPr>
              <w:t xml:space="preserve">220,258</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0.720%</w:t>
            </w:r>
          </w:p>
        </w:tc>
        <w:tc>
          <w:tcPr>
            <w:tcW w:type="dxa" w:w="1900"/>
            <w:tcMar>
              <w:top w:type="dxa" w:w="60"/>
              <w:left w:type="dxa" w:w="100"/>
              <w:bottom w:type="dxa" w:w="60"/>
              <w:right w:type="dxa" w:w="100"/>
            </w:tcMar>
          </w:tcPr>
          <w:p>
            <w:pPr>
              <w:spacing w:after="0" w:before="0"/>
              <w:jc w:val="right"/>
            </w:pPr>
            <w:r>
              <w:rPr>
                <w:b w:val="false"/>
                <w:bCs w:val="false"/>
                <w:i w:val="false"/>
                <w:iCs w:val="false"/>
                <w:sz w:val="20"/>
                <w:szCs w:val="20"/>
              </w:rPr>
              <w:t xml:space="preserve">1,586</w:t>
            </w:r>
          </w:p>
        </w:tc>
      </w:tr>
      <w:tr>
        <w:tc>
          <w:tcPr>
            <w:tcW w:type="dxa" w:w="14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2018</w:t>
            </w:r>
          </w:p>
        </w:tc>
        <w:tc>
          <w:tcPr>
            <w:tcW w:type="dxa" w:w="256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7 — seventh prior</w:t>
            </w:r>
          </w:p>
        </w:tc>
        <w:tc>
          <w:tcPr>
            <w:tcW w:type="dxa" w:w="20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226,866</w:t>
            </w:r>
          </w:p>
        </w:tc>
        <w:tc>
          <w:tcPr>
            <w:tcW w:type="dxa" w:w="15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0.675%</w:t>
            </w:r>
          </w:p>
        </w:tc>
        <w:tc>
          <w:tcPr>
            <w:tcW w:type="dxa" w:w="19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1,531</w:t>
            </w:r>
          </w:p>
        </w:tc>
      </w:tr>
      <w:tr>
        <w:tc>
          <w:tcPr>
            <w:tcW w:type="dxa" w:w="1400"/>
            <w:tcMar>
              <w:top w:type="dxa" w:w="60"/>
              <w:left w:type="dxa" w:w="100"/>
              <w:bottom w:type="dxa" w:w="60"/>
              <w:right w:type="dxa" w:w="100"/>
            </w:tcMar>
          </w:tcPr>
          <w:p>
            <w:pPr>
              <w:spacing w:after="0" w:before="0"/>
              <w:jc w:val="left"/>
            </w:pPr>
            <w:r>
              <w:rPr>
                <w:b w:val="false"/>
                <w:bCs w:val="false"/>
                <w:i w:val="false"/>
                <w:iCs w:val="false"/>
                <w:sz w:val="20"/>
                <w:szCs w:val="20"/>
              </w:rPr>
              <w:t xml:space="preserve">2019</w:t>
            </w:r>
          </w:p>
        </w:tc>
        <w:tc>
          <w:tcPr>
            <w:tcW w:type="dxa" w:w="2560"/>
            <w:tcMar>
              <w:top w:type="dxa" w:w="60"/>
              <w:left w:type="dxa" w:w="100"/>
              <w:bottom w:type="dxa" w:w="60"/>
              <w:right w:type="dxa" w:w="100"/>
            </w:tcMar>
          </w:tcPr>
          <w:p>
            <w:pPr>
              <w:spacing w:after="0" w:before="0"/>
              <w:jc w:val="right"/>
            </w:pPr>
            <w:r>
              <w:rPr>
                <w:b w:val="false"/>
                <w:bCs w:val="false"/>
                <w:i w:val="false"/>
                <w:iCs w:val="false"/>
                <w:sz w:val="20"/>
                <w:szCs w:val="20"/>
              </w:rPr>
              <w:t xml:space="preserve">8 — sixth prior</w:t>
            </w:r>
          </w:p>
        </w:tc>
        <w:tc>
          <w:tcPr>
            <w:tcW w:type="dxa" w:w="2000"/>
            <w:tcMar>
              <w:top w:type="dxa" w:w="60"/>
              <w:left w:type="dxa" w:w="100"/>
              <w:bottom w:type="dxa" w:w="60"/>
              <w:right w:type="dxa" w:w="100"/>
            </w:tcMar>
          </w:tcPr>
          <w:p>
            <w:pPr>
              <w:spacing w:after="0" w:before="0"/>
              <w:jc w:val="right"/>
            </w:pPr>
            <w:r>
              <w:rPr>
                <w:b w:val="false"/>
                <w:bCs w:val="false"/>
                <w:i w:val="false"/>
                <w:iCs w:val="false"/>
                <w:sz w:val="20"/>
                <w:szCs w:val="20"/>
              </w:rPr>
              <w:t xml:space="preserve">233,672</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c>
          <w:tcPr>
            <w:tcW w:type="dxa" w:w="1900"/>
            <w:tcMar>
              <w:top w:type="dxa" w:w="60"/>
              <w:left w:type="dxa" w:w="100"/>
              <w:bottom w:type="dxa" w:w="60"/>
              <w:right w:type="dxa" w:w="100"/>
            </w:tcMar>
          </w:tcPr>
          <w:p>
            <w:pPr>
              <w:spacing w:after="0" w:before="0"/>
              <w:jc w:val="right"/>
            </w:pPr>
            <w:r>
              <w:rPr>
                <w:b w:val="false"/>
                <w:bCs w:val="false"/>
                <w:i w:val="false"/>
                <w:iCs w:val="false"/>
                <w:sz w:val="20"/>
                <w:szCs w:val="20"/>
              </w:rPr>
              <w:t xml:space="preserve">1,402</w:t>
            </w:r>
          </w:p>
        </w:tc>
      </w:tr>
      <w:tr>
        <w:tc>
          <w:tcPr>
            <w:tcW w:type="dxa" w:w="14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2020</w:t>
            </w:r>
          </w:p>
        </w:tc>
        <w:tc>
          <w:tcPr>
            <w:tcW w:type="dxa" w:w="256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9 — fifth prior</w:t>
            </w:r>
          </w:p>
        </w:tc>
        <w:tc>
          <w:tcPr>
            <w:tcW w:type="dxa" w:w="20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240,682</w:t>
            </w:r>
          </w:p>
        </w:tc>
        <w:tc>
          <w:tcPr>
            <w:tcW w:type="dxa" w:w="15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c>
          <w:tcPr>
            <w:tcW w:type="dxa" w:w="190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1,444</w:t>
            </w:r>
          </w:p>
        </w:tc>
      </w:tr>
      <w:tr>
        <w:tc>
          <w:tcPr>
            <w:tcW w:type="dxa" w:w="1400"/>
            <w:tcMar>
              <w:top w:type="dxa" w:w="60"/>
              <w:left w:type="dxa" w:w="100"/>
              <w:bottom w:type="dxa" w:w="60"/>
              <w:right w:type="dxa" w:w="100"/>
            </w:tcMar>
          </w:tcPr>
          <w:p>
            <w:pPr>
              <w:spacing w:after="0" w:before="0"/>
              <w:jc w:val="left"/>
            </w:pPr>
            <w:r>
              <w:rPr>
                <w:b w:val="false"/>
                <w:bCs w:val="false"/>
                <w:i w:val="false"/>
                <w:iCs w:val="false"/>
                <w:sz w:val="20"/>
                <w:szCs w:val="20"/>
              </w:rPr>
              <w:t xml:space="preserve">2021</w:t>
            </w:r>
          </w:p>
        </w:tc>
        <w:tc>
          <w:tcPr>
            <w:tcW w:type="dxa" w:w="2560"/>
            <w:tcMar>
              <w:top w:type="dxa" w:w="60"/>
              <w:left w:type="dxa" w:w="100"/>
              <w:bottom w:type="dxa" w:w="60"/>
              <w:right w:type="dxa" w:w="100"/>
            </w:tcMar>
          </w:tcPr>
          <w:p>
            <w:pPr>
              <w:spacing w:after="0" w:before="0"/>
              <w:jc w:val="right"/>
            </w:pPr>
            <w:r>
              <w:rPr>
                <w:b w:val="false"/>
                <w:bCs w:val="false"/>
                <w:i w:val="false"/>
                <w:iCs w:val="false"/>
                <w:sz w:val="20"/>
                <w:szCs w:val="20"/>
              </w:rPr>
              <w:t xml:space="preserve">10 — fourth prior</w:t>
            </w:r>
          </w:p>
        </w:tc>
        <w:tc>
          <w:tcPr>
            <w:tcW w:type="dxa" w:w="2000"/>
            <w:tcMar>
              <w:top w:type="dxa" w:w="60"/>
              <w:left w:type="dxa" w:w="100"/>
              <w:bottom w:type="dxa" w:w="60"/>
              <w:right w:type="dxa" w:w="100"/>
            </w:tcMar>
          </w:tcPr>
          <w:p>
            <w:pPr>
              <w:spacing w:after="0" w:before="0"/>
              <w:jc w:val="right"/>
            </w:pPr>
            <w:r>
              <w:rPr>
                <w:b w:val="false"/>
                <w:bCs w:val="false"/>
                <w:i w:val="false"/>
                <w:iCs w:val="false"/>
                <w:sz w:val="20"/>
                <w:szCs w:val="20"/>
              </w:rPr>
              <w:t xml:space="preserve">247,903</w:t>
            </w:r>
          </w:p>
        </w:tc>
        <w:tc>
          <w:tcPr>
            <w:tcW w:type="dxa" w:w="1500"/>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c>
          <w:tcPr>
            <w:tcW w:type="dxa" w:w="1900"/>
            <w:tcMar>
              <w:top w:type="dxa" w:w="60"/>
              <w:left w:type="dxa" w:w="100"/>
              <w:bottom w:type="dxa" w:w="60"/>
              <w:right w:type="dxa" w:w="100"/>
            </w:tcMar>
          </w:tcPr>
          <w:p>
            <w:pPr>
              <w:spacing w:after="0" w:before="0"/>
              <w:jc w:val="right"/>
            </w:pPr>
            <w:r>
              <w:rPr>
                <w:b w:val="false"/>
                <w:bCs w:val="false"/>
                <w:i w:val="false"/>
                <w:iCs w:val="false"/>
                <w:sz w:val="20"/>
                <w:szCs w:val="20"/>
              </w:rPr>
              <w:t xml:space="preserve">1,487</w:t>
            </w:r>
          </w:p>
        </w:tc>
      </w:tr>
      <w:tr>
        <w:tc>
          <w:tcPr>
            <w:tcW w:type="dxa" w:w="1400"/>
            <w:shd w:fill="FFF2CC" w:color="auto" w:val="clear"/>
            <w:tcMar>
              <w:top w:type="dxa" w:w="60"/>
              <w:left w:type="dxa" w:w="100"/>
              <w:bottom w:type="dxa" w:w="60"/>
              <w:right w:type="dxa" w:w="100"/>
            </w:tcMar>
          </w:tcPr>
          <w:p>
            <w:pPr>
              <w:spacing w:after="0" w:before="0"/>
              <w:jc w:val="left"/>
            </w:pPr>
            <w:r>
              <w:rPr>
                <w:b/>
                <w:bCs/>
                <w:i w:val="false"/>
                <w:iCs w:val="false"/>
                <w:sz w:val="20"/>
                <w:szCs w:val="20"/>
              </w:rPr>
              <w:t xml:space="preserve">Total</w:t>
            </w:r>
          </w:p>
        </w:tc>
        <w:tc>
          <w:tcPr>
            <w:tcW w:type="dxa" w:w="256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Lines 4 – 10</w:t>
            </w:r>
          </w:p>
        </w:tc>
        <w:tc>
          <w:tcPr>
            <w:tcW w:type="dxa" w:w="200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
            </w:r>
          </w:p>
        </w:tc>
        <w:tc>
          <w:tcPr>
            <w:tcW w:type="dxa" w:w="150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
            </w:r>
          </w:p>
        </w:tc>
        <w:tc>
          <w:tcPr>
            <w:tcW w:type="dxa" w:w="190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10,547</w:t>
            </w:r>
          </w:p>
        </w:tc>
      </w:tr>
    </w:tbl>
    <w:p>
      <w:pPr>
        <w:spacing w:after="120" w:before="160"/>
      </w:pPr>
      <w:r>
        <w:rPr>
          <w:b/>
          <w:bCs/>
          <w:sz w:val="21"/>
          <w:szCs w:val="21"/>
        </w:rPr>
        <w:t xml:space="preserve">Pro forma total carryforward once backfilled:  10,547 + 1,506 + 1,956 + 1,445 + 1,762 = $17,216.</w:t>
      </w:r>
    </w:p>
    <w:p>
      <w:pPr>
        <w:pStyle w:val="Heading2"/>
        <w:spacing w:after="140" w:before="300"/>
      </w:pPr>
      <w:r>
        <w:rPr>
          <w:b/>
          <w:bCs/>
          <w:color w:val="1F3864"/>
          <w:sz w:val="24"/>
          <w:szCs w:val="24"/>
        </w:rPr>
        <w:t xml:space="preserve">4.  Reasonableness check against the filed years</w:t>
      </w:r>
    </w:p>
    <w:p>
      <w:pPr>
        <w:spacing w:after="120" w:before="0"/>
      </w:pPr>
      <w:r>
        <w:rPr>
          <w:sz w:val="21"/>
          <w:szCs w:val="21"/>
        </w:rPr>
        <w:t xml:space="preserve">Same method applied to the years already reported on the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D9E2F3" w:color="auto" w:val="clear"/>
            <w:tcMar>
              <w:top w:type="dxa" w:w="60"/>
              <w:left w:type="dxa" w:w="100"/>
              <w:bottom w:type="dxa" w:w="60"/>
              <w:right w:type="dxa" w:w="100"/>
            </w:tcMar>
          </w:tcPr>
          <w:p>
            <w:pPr>
              <w:spacing w:after="0" w:before="0"/>
              <w:jc w:val="left"/>
            </w:pPr>
            <w:r>
              <w:rPr>
                <w:b/>
                <w:bCs/>
                <w:i w:val="false"/>
                <w:iCs w:val="false"/>
                <w:sz w:val="20"/>
                <w:szCs w:val="20"/>
              </w:rPr>
              <w:t xml:space="preserve">Tax year</w:t>
            </w:r>
          </w:p>
        </w:tc>
        <w:tc>
          <w:tcPr>
            <w:tcW w:type="dxa" w:w="252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Model @ 3%</w:t>
            </w:r>
          </w:p>
        </w:tc>
        <w:tc>
          <w:tcPr>
            <w:tcW w:type="dxa" w:w="252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On worksheet</w:t>
            </w:r>
          </w:p>
        </w:tc>
        <w:tc>
          <w:tcPr>
            <w:tcW w:type="dxa" w:w="252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Variance</w:t>
            </w:r>
          </w:p>
        </w:tc>
      </w:tr>
      <w:tr>
        <w:tc>
          <w:tcPr>
            <w:tcW w:type="dxa" w:w="1800"/>
            <w:tcMar>
              <w:top w:type="dxa" w:w="60"/>
              <w:left w:type="dxa" w:w="100"/>
              <w:bottom w:type="dxa" w:w="60"/>
              <w:right w:type="dxa" w:w="100"/>
            </w:tcMar>
          </w:tcPr>
          <w:p>
            <w:pPr>
              <w:spacing w:after="0" w:before="0"/>
              <w:jc w:val="left"/>
            </w:pPr>
            <w:r>
              <w:rPr>
                <w:b w:val="false"/>
                <w:bCs w:val="false"/>
                <w:i w:val="false"/>
                <w:iCs w:val="false"/>
                <w:sz w:val="20"/>
                <w:szCs w:val="20"/>
              </w:rPr>
              <w:t xml:space="preserve">2022</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1,404</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1,506</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+102   (+7%)</w:t>
            </w:r>
          </w:p>
        </w:tc>
      </w:tr>
      <w:tr>
        <w:tc>
          <w:tcPr>
            <w:tcW w:type="dxa" w:w="18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2023</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1,446</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1,956</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+510   (+35%)</w:t>
            </w:r>
          </w:p>
        </w:tc>
      </w:tr>
      <w:tr>
        <w:tc>
          <w:tcPr>
            <w:tcW w:type="dxa" w:w="1800"/>
            <w:tcMar>
              <w:top w:type="dxa" w:w="60"/>
              <w:left w:type="dxa" w:w="100"/>
              <w:bottom w:type="dxa" w:w="60"/>
              <w:right w:type="dxa" w:w="100"/>
            </w:tcMar>
          </w:tcPr>
          <w:p>
            <w:pPr>
              <w:spacing w:after="0" w:before="0"/>
              <w:jc w:val="left"/>
            </w:pPr>
            <w:r>
              <w:rPr>
                <w:b w:val="false"/>
                <w:bCs w:val="false"/>
                <w:i w:val="false"/>
                <w:iCs w:val="false"/>
                <w:sz w:val="20"/>
                <w:szCs w:val="20"/>
              </w:rPr>
              <w:t xml:space="preserve">2024</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1,490</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1,445</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−45   (−3%)</w:t>
            </w:r>
          </w:p>
        </w:tc>
      </w:tr>
      <w:tr>
        <w:tc>
          <w:tcPr>
            <w:tcW w:type="dxa" w:w="18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2025</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1,535</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1,762</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+227   (+15%)</w:t>
            </w:r>
          </w:p>
        </w:tc>
      </w:tr>
    </w:tbl>
    <w:p>
      <w:pPr>
        <w:spacing w:after="120" w:before="140"/>
      </w:pPr>
      <w:r>
        <w:rPr>
          <w:sz w:val="21"/>
          <w:szCs w:val="21"/>
        </w:rPr>
        <w:t xml:space="preserve">The model tracks 2022 and 2024 within a few percent. 2023 and 2025 run high against the model because the actual BET base is compensation plus interest and dividends paid, not wages alone. The backfilled amounts should therefore be treated as a conservative floor.</w:t>
      </w:r>
    </w:p>
    <w:p>
      <w:pPr>
        <w:pStyle w:val="Heading2"/>
        <w:spacing w:after="140" w:before="300"/>
      </w:pPr>
      <w:r>
        <w:rPr>
          <w:b/>
          <w:bCs/>
          <w:color w:val="1F3864"/>
          <w:sz w:val="24"/>
          <w:szCs w:val="24"/>
        </w:rPr>
        <w:t xml:space="preserve">5.  Anchor-year sensitivity</w:t>
      </w:r>
    </w:p>
    <w:p>
      <w:pPr>
        <w:spacing w:after="120" w:before="0"/>
      </w:pPr>
      <w:r>
        <w:rPr>
          <w:sz w:val="21"/>
          <w:szCs w:val="21"/>
        </w:rPr>
        <w:t xml:space="preserve">$263,000 × 0.55% = $1,446, which matches the 2024 figure on line 13 (1,445) rather than the 2023 figure (1,956). If $263,000 is in fact the 2024 wage base, every year shifts one notch: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D9E2F3" w:color="auto" w:val="clear"/>
            <w:tcMar>
              <w:top w:type="dxa" w:w="60"/>
              <w:left w:type="dxa" w:w="100"/>
              <w:bottom w:type="dxa" w:w="60"/>
              <w:right w:type="dxa" w:w="100"/>
            </w:tcMar>
          </w:tcPr>
          <w:p>
            <w:pPr>
              <w:spacing w:after="0" w:before="0"/>
              <w:jc w:val="left"/>
            </w:pPr>
            <w:r>
              <w:rPr>
                <w:b/>
                <w:bCs/>
                <w:i w:val="false"/>
                <w:iCs w:val="false"/>
                <w:sz w:val="20"/>
                <w:szCs w:val="20"/>
              </w:rPr>
              <w:t xml:space="preserve">Tax year</w:t>
            </w:r>
          </w:p>
        </w:tc>
        <w:tc>
          <w:tcPr>
            <w:tcW w:type="dxa" w:w="252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Wage base @ 3%</w:t>
            </w:r>
          </w:p>
        </w:tc>
        <w:tc>
          <w:tcPr>
            <w:tcW w:type="dxa" w:w="252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BET rate</w:t>
            </w:r>
          </w:p>
        </w:tc>
        <w:tc>
          <w:tcPr>
            <w:tcW w:type="dxa" w:w="2520"/>
            <w:shd w:fill="D9E2F3" w:color="auto" w:val="clear"/>
            <w:tcMar>
              <w:top w:type="dxa" w:w="60"/>
              <w:left w:type="dxa" w:w="100"/>
              <w:bottom w:type="dxa" w:w="60"/>
              <w:right w:type="dxa" w:w="100"/>
            </w:tcMar>
          </w:tcPr>
          <w:p>
            <w:pPr>
              <w:spacing w:after="0" w:before="0"/>
              <w:jc w:val="right"/>
            </w:pPr>
            <w:r>
              <w:rPr>
                <w:b/>
                <w:bCs/>
                <w:i w:val="false"/>
                <w:iCs w:val="false"/>
                <w:sz w:val="20"/>
                <w:szCs w:val="20"/>
              </w:rPr>
              <w:t xml:space="preserve">Credit (2024 anchor)</w:t>
            </w:r>
          </w:p>
        </w:tc>
      </w:tr>
      <w:tr>
        <w:tc>
          <w:tcPr>
            <w:tcW w:type="dxa" w:w="1800"/>
            <w:tcMar>
              <w:top w:type="dxa" w:w="60"/>
              <w:left w:type="dxa" w:w="100"/>
              <w:bottom w:type="dxa" w:w="60"/>
              <w:right w:type="dxa" w:w="100"/>
            </w:tcMar>
          </w:tcPr>
          <w:p>
            <w:pPr>
              <w:spacing w:after="0" w:before="0"/>
              <w:jc w:val="left"/>
            </w:pPr>
            <w:r>
              <w:rPr>
                <w:b w:val="false"/>
                <w:bCs w:val="false"/>
                <w:i w:val="false"/>
                <w:iCs w:val="false"/>
                <w:sz w:val="20"/>
                <w:szCs w:val="20"/>
              </w:rPr>
              <w:t xml:space="preserve">2015</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201,568</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0.750%</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1,512</w:t>
            </w:r>
          </w:p>
        </w:tc>
      </w:tr>
      <w:tr>
        <w:tc>
          <w:tcPr>
            <w:tcW w:type="dxa" w:w="18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2016</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207,615</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0.720%</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1,495</w:t>
            </w:r>
          </w:p>
        </w:tc>
      </w:tr>
      <w:tr>
        <w:tc>
          <w:tcPr>
            <w:tcW w:type="dxa" w:w="1800"/>
            <w:tcMar>
              <w:top w:type="dxa" w:w="60"/>
              <w:left w:type="dxa" w:w="100"/>
              <w:bottom w:type="dxa" w:w="60"/>
              <w:right w:type="dxa" w:w="100"/>
            </w:tcMar>
          </w:tcPr>
          <w:p>
            <w:pPr>
              <w:spacing w:after="0" w:before="0"/>
              <w:jc w:val="left"/>
            </w:pPr>
            <w:r>
              <w:rPr>
                <w:b w:val="false"/>
                <w:bCs w:val="false"/>
                <w:i w:val="false"/>
                <w:iCs w:val="false"/>
                <w:sz w:val="20"/>
                <w:szCs w:val="20"/>
              </w:rPr>
              <w:t xml:space="preserve">2017</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213,843</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0.720%</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1,540</w:t>
            </w:r>
          </w:p>
        </w:tc>
      </w:tr>
      <w:tr>
        <w:tc>
          <w:tcPr>
            <w:tcW w:type="dxa" w:w="18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2018</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220,258</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0.675%</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1,487</w:t>
            </w:r>
          </w:p>
        </w:tc>
      </w:tr>
      <w:tr>
        <w:tc>
          <w:tcPr>
            <w:tcW w:type="dxa" w:w="1800"/>
            <w:tcMar>
              <w:top w:type="dxa" w:w="60"/>
              <w:left w:type="dxa" w:w="100"/>
              <w:bottom w:type="dxa" w:w="60"/>
              <w:right w:type="dxa" w:w="100"/>
            </w:tcMar>
          </w:tcPr>
          <w:p>
            <w:pPr>
              <w:spacing w:after="0" w:before="0"/>
              <w:jc w:val="left"/>
            </w:pPr>
            <w:r>
              <w:rPr>
                <w:b w:val="false"/>
                <w:bCs w:val="false"/>
                <w:i w:val="false"/>
                <w:iCs w:val="false"/>
                <w:sz w:val="20"/>
                <w:szCs w:val="20"/>
              </w:rPr>
              <w:t xml:space="preserve">2019</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226,866</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1,361</w:t>
            </w:r>
          </w:p>
        </w:tc>
      </w:tr>
      <w:tr>
        <w:tc>
          <w:tcPr>
            <w:tcW w:type="dxa" w:w="1800"/>
            <w:shd w:fill="F2F2F2" w:color="auto" w:val="clear"/>
            <w:tcMar>
              <w:top w:type="dxa" w:w="60"/>
              <w:left w:type="dxa" w:w="100"/>
              <w:bottom w:type="dxa" w:w="60"/>
              <w:right w:type="dxa" w:w="100"/>
            </w:tcMar>
          </w:tcPr>
          <w:p>
            <w:pPr>
              <w:spacing w:after="0" w:before="0"/>
              <w:jc w:val="left"/>
            </w:pPr>
            <w:r>
              <w:rPr>
                <w:b w:val="false"/>
                <w:bCs w:val="false"/>
                <w:i w:val="false"/>
                <w:iCs w:val="false"/>
                <w:sz w:val="20"/>
                <w:szCs w:val="20"/>
              </w:rPr>
              <w:t xml:space="preserve">2020</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233,672</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c>
          <w:tcPr>
            <w:tcW w:type="dxa" w:w="2520"/>
            <w:shd w:fill="F2F2F2" w:color="auto" w:val="clear"/>
            <w:tcMar>
              <w:top w:type="dxa" w:w="60"/>
              <w:left w:type="dxa" w:w="100"/>
              <w:bottom w:type="dxa" w:w="60"/>
              <w:right w:type="dxa" w:w="100"/>
            </w:tcMar>
          </w:tcPr>
          <w:p>
            <w:pPr>
              <w:spacing w:after="0" w:before="0"/>
              <w:jc w:val="right"/>
            </w:pPr>
            <w:r>
              <w:rPr>
                <w:b w:val="false"/>
                <w:bCs w:val="false"/>
                <w:i w:val="false"/>
                <w:iCs w:val="false"/>
                <w:sz w:val="20"/>
                <w:szCs w:val="20"/>
              </w:rPr>
              <w:t xml:space="preserve">1,402</w:t>
            </w:r>
          </w:p>
        </w:tc>
      </w:tr>
      <w:tr>
        <w:tc>
          <w:tcPr>
            <w:tcW w:type="dxa" w:w="1800"/>
            <w:tcMar>
              <w:top w:type="dxa" w:w="60"/>
              <w:left w:type="dxa" w:w="100"/>
              <w:bottom w:type="dxa" w:w="60"/>
              <w:right w:type="dxa" w:w="100"/>
            </w:tcMar>
          </w:tcPr>
          <w:p>
            <w:pPr>
              <w:spacing w:after="0" w:before="0"/>
              <w:jc w:val="left"/>
            </w:pPr>
            <w:r>
              <w:rPr>
                <w:b w:val="false"/>
                <w:bCs w:val="false"/>
                <w:i w:val="false"/>
                <w:iCs w:val="false"/>
                <w:sz w:val="20"/>
                <w:szCs w:val="20"/>
              </w:rPr>
              <w:t xml:space="preserve">2021</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240,682</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0.600%</w:t>
            </w:r>
          </w:p>
        </w:tc>
        <w:tc>
          <w:tcPr>
            <w:tcW w:type="dxa" w:w="2520"/>
            <w:tcMar>
              <w:top w:type="dxa" w:w="60"/>
              <w:left w:type="dxa" w:w="100"/>
              <w:bottom w:type="dxa" w:w="60"/>
              <w:right w:type="dxa" w:w="100"/>
            </w:tcMar>
          </w:tcPr>
          <w:p>
            <w:pPr>
              <w:spacing w:after="0" w:before="0"/>
              <w:jc w:val="right"/>
            </w:pPr>
            <w:r>
              <w:rPr>
                <w:b w:val="false"/>
                <w:bCs w:val="false"/>
                <w:i w:val="false"/>
                <w:iCs w:val="false"/>
                <w:sz w:val="20"/>
                <w:szCs w:val="20"/>
              </w:rPr>
              <w:t xml:space="preserve">1,444</w:t>
            </w:r>
          </w:p>
        </w:tc>
      </w:tr>
      <w:tr>
        <w:tc>
          <w:tcPr>
            <w:tcW w:type="dxa" w:w="1800"/>
            <w:shd w:fill="FFF2CC" w:color="auto" w:val="clear"/>
            <w:tcMar>
              <w:top w:type="dxa" w:w="60"/>
              <w:left w:type="dxa" w:w="100"/>
              <w:bottom w:type="dxa" w:w="60"/>
              <w:right w:type="dxa" w:w="100"/>
            </w:tcMar>
          </w:tcPr>
          <w:p>
            <w:pPr>
              <w:spacing w:after="0" w:before="0"/>
              <w:jc w:val="left"/>
            </w:pPr>
            <w:r>
              <w:rPr>
                <w:b/>
                <w:bCs/>
                <w:i w:val="false"/>
                <w:iCs w:val="false"/>
                <w:sz w:val="20"/>
                <w:szCs w:val="20"/>
              </w:rPr>
              <w:t xml:space="preserve">Total</w:t>
            </w:r>
          </w:p>
        </w:tc>
        <w:tc>
          <w:tcPr>
            <w:tcW w:type="dxa" w:w="252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
            </w:r>
          </w:p>
        </w:tc>
        <w:tc>
          <w:tcPr>
            <w:tcW w:type="dxa" w:w="252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
            </w:r>
          </w:p>
        </w:tc>
        <w:tc>
          <w:tcPr>
            <w:tcW w:type="dxa" w:w="2520"/>
            <w:shd w:fill="FFF2CC" w:color="auto" w:val="clear"/>
            <w:tcMar>
              <w:top w:type="dxa" w:w="60"/>
              <w:left w:type="dxa" w:w="100"/>
              <w:bottom w:type="dxa" w:w="60"/>
              <w:right w:type="dxa" w:w="100"/>
            </w:tcMar>
          </w:tcPr>
          <w:p>
            <w:pPr>
              <w:spacing w:after="0" w:before="0"/>
              <w:jc w:val="right"/>
            </w:pPr>
            <w:r>
              <w:rPr>
                <w:b/>
                <w:bCs/>
                <w:i w:val="false"/>
                <w:iCs w:val="false"/>
                <w:sz w:val="20"/>
                <w:szCs w:val="20"/>
              </w:rPr>
              <w:t xml:space="preserve">10,241</w:t>
            </w:r>
          </w:p>
        </w:tc>
      </w:tr>
    </w:tbl>
    <w:p>
      <w:pPr>
        <w:spacing w:after="120" w:before="160"/>
      </w:pPr>
      <w:r>
        <w:rPr>
          <w:b/>
          <w:bCs/>
          <w:sz w:val="21"/>
          <w:szCs w:val="21"/>
        </w:rPr>
        <w:t xml:space="preserve">Range across the two anchor assumptions:  $10,241 – $10,547.</w:t>
      </w:r>
    </w:p>
    <w:p>
      <w:pPr>
        <w:pStyle w:val="Heading2"/>
        <w:spacing w:after="140" w:before="300"/>
      </w:pPr>
      <w:r>
        <w:rPr>
          <w:b/>
          <w:bCs/>
          <w:color w:val="1F3864"/>
          <w:sz w:val="24"/>
          <w:szCs w:val="24"/>
        </w:rPr>
        <w:t xml:space="preserve">6.  Notes and follow-ups</w:t>
      </w:r>
    </w:p>
    <w:p>
      <w:pPr>
        <w:pStyle w:val="ListParagraph"/>
        <w:numPr>
          <w:ilvl w:val="0"/>
          <w:numId w:val="1"/>
        </w:numPr>
        <w:spacing w:after="100"/>
      </w:pPr>
      <w:r>
        <w:rPr>
          <w:sz w:val="21"/>
          <w:szCs w:val="21"/>
        </w:rPr>
        <w:t xml:space="preserve">A BET credit exists only to the extent BET was actually assessed and paid for the year. Confirm BET returns were filed for 2015 – 2021; if not, those returns must be filed and the tax paid before the credit is claimable on the worksheet.</w:t>
      </w:r>
    </w:p>
    <w:p>
      <w:pPr>
        <w:pStyle w:val="ListParagraph"/>
        <w:numPr>
          <w:ilvl w:val="0"/>
          <w:numId w:val="1"/>
        </w:numPr>
        <w:spacing w:after="100"/>
      </w:pPr>
      <w:r>
        <w:rPr>
          <w:sz w:val="21"/>
          <w:szCs w:val="21"/>
        </w:rPr>
        <w:t xml:space="preserve">The 2015 credit is in its tenth carryforward year on the 2025 worksheet and expires after the 2025 period — use it or lose it on this filing.</w:t>
      </w:r>
    </w:p>
    <w:p>
      <w:pPr>
        <w:pStyle w:val="ListParagraph"/>
        <w:numPr>
          <w:ilvl w:val="0"/>
          <w:numId w:val="1"/>
        </w:numPr>
        <w:spacing w:after="100"/>
      </w:pPr>
      <w:r>
        <w:rPr>
          <w:sz w:val="21"/>
          <w:szCs w:val="21"/>
        </w:rPr>
        <w:t xml:space="preserve">With BPT of zero, none of the carryforward is absorbed; the value of the schedule is preserving the credits against future BPT liability.</w:t>
      </w:r>
    </w:p>
    <w:p>
      <w:pPr>
        <w:pStyle w:val="ListParagraph"/>
        <w:numPr>
          <w:ilvl w:val="0"/>
          <w:numId w:val="1"/>
        </w:numPr>
        <w:spacing w:after="100"/>
      </w:pPr>
      <w:r>
        <w:rPr>
          <w:sz w:val="21"/>
          <w:szCs w:val="21"/>
        </w:rPr>
        <w:t xml:space="preserve">RSA 21-J:29 generally limits refund claims to three years. That does not block carrying an unclaimed credit forward, but it does affect any refund posture on the older years.</w:t>
      </w:r>
    </w:p>
    <w:p>
      <w:pPr>
        <w:pBdr>
          <w:top w:val="single" w:color="BFBFBF" w:sz="6" w:space="6"/>
        </w:pBdr>
        <w:spacing w:before="360"/>
      </w:pPr>
      <w:r>
        <w:rPr>
          <w:i/>
          <w:iCs/>
          <w:color w:val="595959"/>
          <w:sz w:val="17"/>
          <w:szCs w:val="17"/>
        </w:rPr>
        <w:t xml:space="preserve">Rate history per NH Department of Revenue Administration business tax materials and NH Fiscal Policy Institute BET rate summaries.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2026-08-06T14:40:21.278Z</dcterms:created>
  <dcterms:modified xsi:type="dcterms:W3CDTF">2026-08-06T14:40:21.278Z</dcterms:modified>
</cp:coreProperties>
</file>

<file path=docProps/custom.xml><?xml version="1.0" encoding="utf-8"?>
<Properties xmlns="http://schemas.openxmlformats.org/officeDocument/2006/custom-properties" xmlns:vt="http://schemas.openxmlformats.org/officeDocument/2006/docPropsVTypes"/>
</file>