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temporarily modify sigma 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Motion magnifies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AMUW2mWtA6NasXEa2yK0GJ3hUwNgkBHNXXpIyp/RFYZeREglKTjemTMZtXKVhNzzjTFBSmtL/7V2J5VhLOe6OB7M25Z5drXdMiayIjJnfH1lEilPGXIFMP4=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