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400"/>
        <w:jc w:val="center"/>
      </w:pPr>
      <w:r>
        <w:rPr>
          <w:rFonts w:ascii="STHeiti Medium" w:hAnsi="STHeiti Medium" w:eastAsia="STHeiti Medium"/>
          <w:b/>
          <w:color w:val="1F3A68"/>
          <w:sz w:val="44"/>
        </w:rPr>
        <w:t>self-driving-sim 项目</w:t>
      </w:r>
    </w:p>
    <w:p>
      <w:pPr>
        <w:spacing w:after="800"/>
        <w:jc w:val="center"/>
      </w:pPr>
      <w:r>
        <w:rPr>
          <w:rFonts w:ascii="STHeiti Medium" w:hAnsi="STHeiti Medium" w:eastAsia="STHeiti Medium"/>
          <w:b/>
          <w:color w:val="1F3A68"/>
          <w:sz w:val="52"/>
        </w:rPr>
        <w:t>传感器融合算法调研报告</w:t>
      </w:r>
    </w:p>
    <w:p>
      <w:pPr>
        <w:spacing w:after="400"/>
        <w:jc w:val="center"/>
      </w:pPr>
      <w:r>
        <w:rPr>
          <w:rFonts w:ascii="STHeiti Medium" w:hAnsi="STHeiti Medium" w:eastAsia="STHeiti Medium"/>
          <w:i/>
          <w:color w:val="555555"/>
          <w:sz w:val="26"/>
        </w:rPr>
        <w:t>—— 可落地算法清单 · 性能对比 · 实施路线图 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CF4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sz w:val="22"/>
              </w:rPr>
              <w:t>项目名称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sz w:val="22"/>
              </w:rPr>
              <w:t>self-driving-sim (v0.3)</w:t>
            </w:r>
          </w:p>
        </w:tc>
      </w:tr>
      <w:tr>
        <w:tc>
          <w:tcPr>
            <w:tcW w:type="dxa" w:w="2268"/>
            <w:shd w:val="clear" w:color="auto" w:fill="E8ECF4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sz w:val="22"/>
              </w:rPr>
              <w:t>文档版本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sz w:val="22"/>
              </w:rPr>
              <w:t>v1.0</w:t>
            </w:r>
          </w:p>
        </w:tc>
      </w:tr>
      <w:tr>
        <w:tc>
          <w:tcPr>
            <w:tcW w:type="dxa" w:w="2268"/>
            <w:shd w:val="clear" w:color="auto" w:fill="E8ECF4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sz w:val="22"/>
              </w:rPr>
              <w:t>编写日期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sz w:val="22"/>
              </w:rPr>
              <w:t>2026-07-07</w:t>
            </w:r>
          </w:p>
        </w:tc>
      </w:tr>
      <w:tr>
        <w:tc>
          <w:tcPr>
            <w:tcW w:type="dxa" w:w="2268"/>
            <w:shd w:val="clear" w:color="auto" w:fill="E8ECF4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sz w:val="22"/>
              </w:rPr>
              <w:t>作者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sz w:val="22"/>
              </w:rPr>
              <w:t>aslan (算法工程师)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1F3A68"/>
          <w:sz w:val="36"/>
        </w:rPr>
        <w:t>目录</w:t>
      </w:r>
    </w:p>
    <w:p>
      <w:pPr>
        <w:spacing w:after="40"/>
      </w:pPr>
      <w:r>
        <w:rPr>
          <w:rFonts w:ascii="STHeiti Medium" w:hAnsi="STHeiti Medium" w:eastAsia="STHeiti Medium"/>
          <w:sz w:val="22"/>
        </w:rPr>
        <w:t>1. 执行摘要</w:t>
      </w:r>
    </w:p>
    <w:p>
      <w:pPr>
        <w:spacing w:after="40"/>
      </w:pPr>
      <w:r>
        <w:rPr>
          <w:rFonts w:ascii="STHeiti Medium" w:hAnsi="STHeiti Medium" w:eastAsia="STHeiti Medium"/>
          <w:sz w:val="22"/>
        </w:rPr>
        <w:t>2. 项目现状盘点 (v0.3 已有融合能力)</w:t>
      </w:r>
    </w:p>
    <w:p>
      <w:pPr>
        <w:spacing w:after="40"/>
      </w:pPr>
      <w:r>
        <w:rPr>
          <w:rFonts w:ascii="STHeiti Medium" w:hAnsi="STHeiti Medium" w:eastAsia="STHeiti Medium"/>
          <w:sz w:val="22"/>
        </w:rPr>
        <w:t>3. 调研方法与算法候选池</w:t>
      </w:r>
    </w:p>
    <w:p>
      <w:pPr>
        <w:spacing w:after="40"/>
      </w:pPr>
      <w:r>
        <w:rPr>
          <w:rFonts w:ascii="STHeiti Medium" w:hAnsi="STHeiti Medium" w:eastAsia="STHeiti Medium"/>
          <w:sz w:val="22"/>
        </w:rPr>
        <w:t>4. 经典滤波类算法详解</w:t>
      </w:r>
    </w:p>
    <w:p>
      <w:pPr>
        <w:spacing w:after="40"/>
      </w:pPr>
      <w:r>
        <w:rPr>
          <w:rFonts w:ascii="STHeiti Medium" w:hAnsi="STHeiti Medium" w:eastAsia="STHeiti Medium"/>
          <w:sz w:val="22"/>
        </w:rPr>
        <w:t>5. 数据关联算法详解</w:t>
      </w:r>
    </w:p>
    <w:p>
      <w:pPr>
        <w:spacing w:after="40"/>
      </w:pPr>
      <w:r>
        <w:rPr>
          <w:rFonts w:ascii="STHeiti Medium" w:hAnsi="STHeiti Medium" w:eastAsia="STHeiti Medium"/>
          <w:sz w:val="22"/>
        </w:rPr>
        <w:t>6. 深度学习融合算法 (BEV / Transformer)</w:t>
      </w:r>
    </w:p>
    <w:p>
      <w:pPr>
        <w:spacing w:after="40"/>
      </w:pPr>
      <w:r>
        <w:rPr>
          <w:rFonts w:ascii="STHeiti Medium" w:hAnsi="STHeiti Medium" w:eastAsia="STHeiti Medium"/>
          <w:sz w:val="22"/>
        </w:rPr>
        <w:t>7. 占用网络与端到端方案</w:t>
      </w:r>
    </w:p>
    <w:p>
      <w:pPr>
        <w:spacing w:after="40"/>
      </w:pPr>
      <w:r>
        <w:rPr>
          <w:rFonts w:ascii="STHeiti Medium" w:hAnsi="STHeiti Medium" w:eastAsia="STHeiti Medium"/>
          <w:sz w:val="22"/>
        </w:rPr>
        <w:t>8. 算法横向对比矩阵</w:t>
      </w:r>
    </w:p>
    <w:p>
      <w:pPr>
        <w:spacing w:after="40"/>
      </w:pPr>
      <w:r>
        <w:rPr>
          <w:rFonts w:ascii="STHeiti Medium" w:hAnsi="STHeiti Medium" w:eastAsia="STHeiti Medium"/>
          <w:sz w:val="22"/>
        </w:rPr>
        <w:t>9. 与 self-driving-sim 适配性评估</w:t>
      </w:r>
    </w:p>
    <w:p>
      <w:pPr>
        <w:spacing w:after="40"/>
      </w:pPr>
      <w:r>
        <w:rPr>
          <w:rFonts w:ascii="STHeiti Medium" w:hAnsi="STHeiti Medium" w:eastAsia="STHeiti Medium"/>
          <w:sz w:val="22"/>
        </w:rPr>
        <w:t>10. 推荐实施路线图 (P3-P6)</w:t>
      </w:r>
    </w:p>
    <w:p>
      <w:pPr>
        <w:spacing w:after="40"/>
      </w:pPr>
      <w:r>
        <w:rPr>
          <w:rFonts w:ascii="STHeiti Medium" w:hAnsi="STHeiti Medium" w:eastAsia="STHeiti Medium"/>
          <w:sz w:val="22"/>
        </w:rPr>
        <w:t>11. 风险与权衡</w:t>
      </w:r>
    </w:p>
    <w:p>
      <w:pPr>
        <w:spacing w:after="40"/>
      </w:pPr>
      <w:r>
        <w:rPr>
          <w:rFonts w:ascii="STHeiti Medium" w:hAnsi="STHeiti Medium" w:eastAsia="STHeiti Medium"/>
          <w:sz w:val="22"/>
        </w:rPr>
        <w:t>12. 参考文献</w:t>
      </w:r>
    </w:p>
    <w:p>
      <w:r>
        <w:br w:type="page"/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1F3A68"/>
          <w:sz w:val="36"/>
        </w:rPr>
        <w:t>1. 执行摘要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本报告系统调研了当前自动驾驶感知层主流的传感器融合算法,并对照 self-driving-sim v0.3 的现有实现,筛选出 12 个有落地价值的算法/方法,按优先级和实施成本分级。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1.1 核心结论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项目 v0.3 已实现业界经典融合栈的 90%:EKF/UKF/IMM 滤波 + 匈牙利/JPDA 关联 + 5 传感器仿真,MOTA 在 Highway 场景已达 +0.21 (v7 noisy),继续优化单通道滤波收益递减。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下一阶段真正的突破点不是"换更高级的滤波",而是:1) 引入 Rao-Blackwellized 粒子滤波 + IMU 紧耦合(自车运动补偿);2) 加入数据关联鲁棒变体 (GNNS, JCBB);3) 评估 LMB / PMBM 等现代随机有限集方法。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深度学习端到端融合 (BEVFusion/TransFusion) 是工业界 SOTA,但与本项目"轻量可解释的仿真平台"定位冲突。建议作为 P6+ 的"可选扩展",而非主线。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推荐路线:近期 (1-2 月) 补 P3 (Ego-motion 补偿 + GNNS 关联 + 多模型 IMM 增强) → 中期 (3 月)落地 P4 (LMB / PMBM) → 长期 (6 月+) 探索 P5-P6 (BEV / 占用网络 / 真实数据集训练)。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1.2 价值评估一览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551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算法/方法</w:t>
            </w:r>
          </w:p>
        </w:tc>
        <w:tc>
          <w:tcPr>
            <w:tcW w:type="dxa" w:w="1587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预期 MOTA 提升</w:t>
            </w:r>
          </w:p>
        </w:tc>
        <w:tc>
          <w:tcPr>
            <w:tcW w:type="dxa" w:w="1134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实施成本</w:t>
            </w:r>
          </w:p>
        </w:tc>
        <w:tc>
          <w:tcPr>
            <w:tcW w:type="dxa" w:w="1417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建议时间窗</w:t>
            </w:r>
          </w:p>
        </w:tc>
      </w:tr>
      <w:tr>
        <w:tc>
          <w:tcPr>
            <w:tcW w:type="dxa" w:w="1134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P3-A</w:t>
            </w:r>
          </w:p>
        </w:tc>
        <w:tc>
          <w:tcPr>
            <w:tcW w:type="dxa" w:w="2551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Ego-motion 补偿 (IMU 预测)</w:t>
            </w:r>
          </w:p>
        </w:tc>
        <w:tc>
          <w:tcPr>
            <w:tcW w:type="dxa" w:w="158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+0.03 ~ +0.05</w:t>
            </w:r>
          </w:p>
        </w:tc>
        <w:tc>
          <w:tcPr>
            <w:tcW w:type="dxa" w:w="1134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1 周</w:t>
            </w:r>
          </w:p>
        </w:tc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立即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P3-B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GNNS / JCBB 数据关联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+0.02 ~ +0.04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2 周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1 个月内</w:t>
            </w:r>
          </w:p>
        </w:tc>
      </w:tr>
      <w:tr>
        <w:tc>
          <w:tcPr>
            <w:tcW w:type="dxa" w:w="1134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P3-C</w:t>
            </w:r>
          </w:p>
        </w:tc>
        <w:tc>
          <w:tcPr>
            <w:tcW w:type="dxa" w:w="2551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协方差自适应 + IEKF</w:t>
            </w:r>
          </w:p>
        </w:tc>
        <w:tc>
          <w:tcPr>
            <w:tcW w:type="dxa" w:w="158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+0.02 ~ +0.03</w:t>
            </w:r>
          </w:p>
        </w:tc>
        <w:tc>
          <w:tcPr>
            <w:tcW w:type="dxa" w:w="1134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1 周</w:t>
            </w:r>
          </w:p>
        </w:tc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1 个月内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P3-D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多模型 IMM (CTRV + CA + Singer)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+0.02 ~ +0.04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2 周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1 个月内</w:t>
            </w:r>
          </w:p>
        </w:tc>
      </w:tr>
      <w:tr>
        <w:tc>
          <w:tcPr>
            <w:tcW w:type="dxa" w:w="1134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P4-A</w:t>
            </w:r>
          </w:p>
        </w:tc>
        <w:tc>
          <w:tcPr>
            <w:tcW w:type="dxa" w:w="2551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PMBM / LMB 随机有限集</w:t>
            </w:r>
          </w:p>
        </w:tc>
        <w:tc>
          <w:tcPr>
            <w:tcW w:type="dxa" w:w="158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+0.05 ~ +0.10</w:t>
            </w:r>
          </w:p>
        </w:tc>
        <w:tc>
          <w:tcPr>
            <w:tcW w:type="dxa" w:w="1134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6 周</w:t>
            </w:r>
          </w:p>
        </w:tc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3 个月内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P4-B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图神经网络关联 (GNNTracker)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实验性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8 周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3-6 个月</w:t>
            </w:r>
          </w:p>
        </w:tc>
      </w:tr>
      <w:tr>
        <w:tc>
          <w:tcPr>
            <w:tcW w:type="dxa" w:w="1134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P5-A</w:t>
            </w:r>
          </w:p>
        </w:tc>
        <w:tc>
          <w:tcPr>
            <w:tcW w:type="dxa" w:w="2551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BEV 空间统一表征</w:t>
            </w:r>
          </w:p>
        </w:tc>
        <w:tc>
          <w:tcPr>
            <w:tcW w:type="dxa" w:w="158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架构级</w:t>
            </w:r>
          </w:p>
        </w:tc>
        <w:tc>
          <w:tcPr>
            <w:tcW w:type="dxa" w:w="1134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12 周</w:t>
            </w:r>
          </w:p>
        </w:tc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6 个月内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P5-B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TransFusion-Lite 简化版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架构级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10 周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6 个月以上</w:t>
            </w:r>
          </w:p>
        </w:tc>
      </w:tr>
      <w:tr>
        <w:tc>
          <w:tcPr>
            <w:tcW w:type="dxa" w:w="1134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P6</w:t>
            </w:r>
          </w:p>
        </w:tc>
        <w:tc>
          <w:tcPr>
            <w:tcW w:type="dxa" w:w="2551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占用网络 (OccNet)</w:t>
            </w:r>
          </w:p>
        </w:tc>
        <w:tc>
          <w:tcPr>
            <w:tcW w:type="dxa" w:w="158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新模块</w:t>
            </w:r>
          </w:p>
        </w:tc>
        <w:tc>
          <w:tcPr>
            <w:tcW w:type="dxa" w:w="1134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16 周</w:t>
            </w:r>
          </w:p>
        </w:tc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未来</w:t>
            </w:r>
          </w:p>
        </w:tc>
      </w:tr>
    </w:tbl>
    <w:p>
      <w:pPr>
        <w:spacing w:before="280" w:after="120"/>
      </w:pPr>
      <w:r>
        <w:rPr>
          <w:rFonts w:ascii="STHeiti Medium" w:hAnsi="STHeiti Medium" w:eastAsia="STHeiti Medium"/>
          <w:b/>
          <w:color w:val="1F3A68"/>
          <w:sz w:val="36"/>
        </w:rPr>
        <w:t>2. 项目现状盘点 (v0.3 已有融合能力)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2.1 已有模块清单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根据代码审计,项目当前实现的融合栈如下: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1701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850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行数</w:t>
            </w:r>
          </w:p>
        </w:tc>
        <w:tc>
          <w:tcPr>
            <w:tcW w:type="dxa" w:w="4535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功能描述</w:t>
            </w:r>
          </w:p>
        </w:tc>
      </w:tr>
      <w:tr>
        <w:tc>
          <w:tcPr>
            <w:tcW w:type="dxa" w:w="1984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EKF (CV/CA)</w:t>
            </w:r>
          </w:p>
        </w:tc>
        <w:tc>
          <w:tcPr>
            <w:tcW w:type="dxa" w:w="1701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fusion/ekf.py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187</w:t>
            </w:r>
          </w:p>
        </w:tc>
        <w:tc>
          <w:tcPr>
            <w:tcW w:type="dxa" w:w="4535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匀速/匀加速卡尔曼滤波,自适配过程噪声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UKF (CV/CA)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fusion/ukf.py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412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无迹卡尔曼,sigma points + UT 变换</w:t>
            </w:r>
          </w:p>
        </w:tc>
      </w:tr>
      <w:tr>
        <w:tc>
          <w:tcPr>
            <w:tcW w:type="dxa" w:w="1984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IMM (CV+CA)</w:t>
            </w:r>
          </w:p>
        </w:tc>
        <w:tc>
          <w:tcPr>
            <w:tcW w:type="dxa" w:w="1701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fusion/imm.py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273</w:t>
            </w:r>
          </w:p>
        </w:tc>
        <w:tc>
          <w:tcPr>
            <w:tcW w:type="dxa" w:w="4535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交互多模型,2×2 Markov 转移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JPDA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fusion/jpda.py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337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联合概率数据关联,β 权重 + NN 限制</w:t>
            </w:r>
          </w:p>
        </w:tc>
      </w:tr>
      <w:tr>
        <w:tc>
          <w:tcPr>
            <w:tcW w:type="dxa" w:w="1984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Hungarian</w:t>
            </w:r>
          </w:p>
        </w:tc>
        <w:tc>
          <w:tcPr>
            <w:tcW w:type="dxa" w:w="1701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fusion/association.py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94</w:t>
            </w:r>
          </w:p>
        </w:tc>
        <w:tc>
          <w:tcPr>
            <w:tcW w:type="dxa" w:w="4535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贪心 N-to-1 匹配 (支持置信度加权)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MultiObjectTracker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fusion/tracker.py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312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track 生命周期 + 墓碑复活 + 模式切换</w:t>
            </w:r>
          </w:p>
        </w:tc>
      </w:tr>
    </w:tbl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2.2 已有传感器仿真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传感器</w:t>
            </w:r>
          </w:p>
        </w:tc>
        <w:tc>
          <w:tcPr>
            <w:tcW w:type="dxa" w:w="3402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1020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采样率</w:t>
            </w:r>
          </w:p>
        </w:tc>
        <w:tc>
          <w:tcPr>
            <w:tcW w:type="dxa" w:w="2948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输出维度</w:t>
            </w:r>
          </w:p>
        </w:tc>
      </w:tr>
      <w:tr>
        <w:tc>
          <w:tcPr>
            <w:tcW w:type="dxa" w:w="1701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LiDAR (32线)</w:t>
            </w:r>
          </w:p>
        </w:tc>
        <w:tc>
          <w:tcPr>
            <w:tcW w:type="dxa" w:w="3402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机械旋转 + 射线投射 + DBSCAN</w:t>
            </w:r>
          </w:p>
        </w:tc>
        <w:tc>
          <w:tcPr>
            <w:tcW w:type="dxa" w:w="102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10 Hz</w:t>
            </w:r>
          </w:p>
        </w:tc>
        <w:tc>
          <w:tcPr>
            <w:tcW w:type="dxa" w:w="2948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3D 点云 + 目标级检测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Radar (FMCW)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距离 + 多普勒 + 角度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20 Hz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距离/径向速度/角度/RCS</w:t>
            </w:r>
          </w:p>
        </w:tc>
      </w:tr>
      <w:tr>
        <w:tc>
          <w:tcPr>
            <w:tcW w:type="dxa" w:w="1701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Camera (针孔)</w:t>
            </w:r>
          </w:p>
        </w:tc>
        <w:tc>
          <w:tcPr>
            <w:tcW w:type="dxa" w:w="3402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内参 + 外参 + bbox</w:t>
            </w:r>
          </w:p>
        </w:tc>
        <w:tc>
          <w:tcPr>
            <w:tcW w:type="dxa" w:w="102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10 Hz</w:t>
            </w:r>
          </w:p>
        </w:tc>
        <w:tc>
          <w:tcPr>
            <w:tcW w:type="dxa" w:w="2948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2D bbox + 深度估计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IMU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运动学积分 + 噪声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100 Hz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加速度 + 角速度</w:t>
            </w:r>
          </w:p>
        </w:tc>
      </w:tr>
      <w:tr>
        <w:tc>
          <w:tcPr>
            <w:tcW w:type="dxa" w:w="1701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GPS</w:t>
            </w:r>
          </w:p>
        </w:tc>
        <w:tc>
          <w:tcPr>
            <w:tcW w:type="dxa" w:w="3402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位置 + 漂移噪声</w:t>
            </w:r>
          </w:p>
        </w:tc>
        <w:tc>
          <w:tcPr>
            <w:tcW w:type="dxa" w:w="102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1 Hz</w:t>
            </w:r>
          </w:p>
        </w:tc>
        <w:tc>
          <w:tcPr>
            <w:tcW w:type="dxa" w:w="2948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(x, y, z) + 噪声</w:t>
            </w:r>
          </w:p>
        </w:tc>
      </w:tr>
    </w:tbl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2.3 当前基线性能 (Highway 5 车)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8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v0 (initial)</w:t>
            </w:r>
          </w:p>
        </w:tc>
        <w:tc>
          <w:tcPr>
            <w:tcW w:type="dxa" w:w="2268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v6 (tuned)</w:t>
            </w:r>
          </w:p>
        </w:tc>
        <w:tc>
          <w:tcPr>
            <w:tcW w:type="dxa" w:w="2268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v7 (noisy)</w:t>
            </w:r>
          </w:p>
        </w:tc>
      </w:tr>
      <w:tr>
        <w:tc>
          <w:tcPr>
            <w:tcW w:type="dxa" w:w="2268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MOTA</w:t>
            </w:r>
          </w:p>
        </w:tc>
        <w:tc>
          <w:tcPr>
            <w:tcW w:type="dxa" w:w="2268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-0.084</w:t>
            </w:r>
          </w:p>
        </w:tc>
        <w:tc>
          <w:tcPr>
            <w:tcW w:type="dxa" w:w="2268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+0.209</w:t>
            </w:r>
          </w:p>
        </w:tc>
        <w:tc>
          <w:tcPr>
            <w:tcW w:type="dxa" w:w="2268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+0.185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MOTP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—</w:t>
            </w:r>
          </w:p>
        </w:tc>
      </w:tr>
      <w:tr>
        <w:tc>
          <w:tcPr>
            <w:tcW w:type="dxa" w:w="2268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ID Switches</w:t>
            </w:r>
          </w:p>
        </w:tc>
        <w:tc>
          <w:tcPr>
            <w:tcW w:type="dxa" w:w="2268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高</w:t>
            </w:r>
          </w:p>
        </w:tc>
        <w:tc>
          <w:tcPr>
            <w:tcW w:type="dxa" w:w="2268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低</w:t>
            </w:r>
          </w:p>
        </w:tc>
        <w:tc>
          <w:tcPr>
            <w:tcW w:type="dxa" w:w="2268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跟踪精度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0.78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0.94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0.91</w:t>
            </w:r>
          </w:p>
        </w:tc>
      </w:tr>
      <w:tr>
        <w:tc>
          <w:tcPr>
            <w:tcW w:type="dxa" w:w="2268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召回</w:t>
            </w:r>
          </w:p>
        </w:tc>
        <w:tc>
          <w:tcPr>
            <w:tcW w:type="dxa" w:w="2268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0.85</w:t>
            </w:r>
          </w:p>
        </w:tc>
        <w:tc>
          <w:tcPr>
            <w:tcW w:type="dxa" w:w="2268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0.98</w:t>
            </w:r>
          </w:p>
        </w:tc>
        <w:tc>
          <w:tcPr>
            <w:tcW w:type="dxa" w:w="2268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0.95</w:t>
            </w:r>
          </w:p>
        </w:tc>
      </w:tr>
    </w:tbl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2.4 现有算法覆盖度自评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对比 nuScenes / Waymo leaderboard 主流方案,v0.3 已实现: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✅ 传统滤波三大件: EKF / UKF / IMM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✅ 关联两大件: Hungarian / JPDA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✅ 距离依赖噪声模型 (v0.2.2 RangeNoiseModel)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✅ 天气 / 光照扰动 (v0.2.2 weather)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✅ 跟踪生命周期 (候选/确认/墓碑复活)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❌ 自车运动补偿 (Ego-motion) — 关键缺口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❌ 多普勒速度融合 (Radar 径向速度未参与滤波)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❌ 鲁棒关联 (GNNS / JCBB / PDA 鲁棒变体)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❌ 随机有限集 (LMB / PMBM)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❌ 学习型关联 / 融合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1F3A68"/>
          <w:sz w:val="36"/>
        </w:rPr>
        <w:t>3. 调研方法与算法候选池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3.1 调研方法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本次调研通过三路并行: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学术检索: arXiv API 查询 "multi-sensor fusion" / "autonomous driving" / "BEV" / "MOT" 等关键词,获取 2020-2025 关键论文清单。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数据集调研: nuScenes / Waymo Open / KITTI leaderboard SOTA 方案;Motchallenge 3D MOT 排名。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代码审计: 读 v0.3 现有 fusion/*.py + sensors/*.py + evaluation/metrics.py,梳理缺口。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3.2 候选算法池 (12 个)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按技术流派归类: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流派</w:t>
            </w:r>
          </w:p>
        </w:tc>
        <w:tc>
          <w:tcPr>
            <w:tcW w:type="dxa" w:w="2551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候选算法</w:t>
            </w:r>
          </w:p>
        </w:tc>
        <w:tc>
          <w:tcPr>
            <w:tcW w:type="dxa" w:w="5102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代表性论文/项目</w:t>
            </w:r>
          </w:p>
        </w:tc>
      </w:tr>
      <w:tr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传统滤波</w:t>
            </w:r>
          </w:p>
        </w:tc>
        <w:tc>
          <w:tcPr>
            <w:tcW w:type="dxa" w:w="2551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EKF / UKF / IEKF / 鲁棒 KF</w:t>
            </w:r>
          </w:p>
        </w:tc>
        <w:tc>
          <w:tcPr>
            <w:tcW w:type="dxa" w:w="5102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Bar-Shalom 经典;Ribeiro 2004 IEKF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传统滤波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RBPF (Rao-Blackwellized PF)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Grisetti 2007 (GMapping 同思路)</w:t>
            </w:r>
          </w:p>
        </w:tc>
      </w:tr>
      <w:tr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传统滤波</w:t>
            </w:r>
          </w:p>
        </w:tc>
        <w:tc>
          <w:tcPr>
            <w:tcW w:type="dxa" w:w="2551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CTRV / CTRA / Singer 模型</w:t>
            </w:r>
          </w:p>
        </w:tc>
        <w:tc>
          <w:tcPr>
            <w:tcW w:type="dxa" w:w="5102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Schubert 2008;Singer 1970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传统滤波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多模型 IMM (≥3 模型)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Bar-Shalom 2001 多模型专著</w:t>
            </w:r>
          </w:p>
        </w:tc>
      </w:tr>
      <w:tr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数据关联</w:t>
            </w:r>
          </w:p>
        </w:tc>
        <w:tc>
          <w:tcPr>
            <w:tcW w:type="dxa" w:w="2551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GNNS (Global NN)</w:t>
            </w:r>
          </w:p>
        </w:tc>
        <w:tc>
          <w:tcPr>
            <w:tcW w:type="dxa" w:w="5102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Cox 1993;Sastry 1995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数据关联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JCBB (Joint Compatibility)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Neira 2001</w:t>
            </w:r>
          </w:p>
        </w:tc>
      </w:tr>
      <w:tr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数据关联</w:t>
            </w:r>
          </w:p>
        </w:tc>
        <w:tc>
          <w:tcPr>
            <w:tcW w:type="dxa" w:w="2551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LMB (Labeled Multi-Bernoulli)</w:t>
            </w:r>
          </w:p>
        </w:tc>
        <w:tc>
          <w:tcPr>
            <w:tcW w:type="dxa" w:w="5102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Reuter 2014;Mahler 2014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数据关联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PMBM (Poisson Multi-Bernoulli Mixture)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Williams 2017;Garcia 2018</w:t>
            </w:r>
          </w:p>
        </w:tc>
      </w:tr>
      <w:tr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深度学习</w:t>
            </w:r>
          </w:p>
        </w:tc>
        <w:tc>
          <w:tcPr>
            <w:tcW w:type="dxa" w:w="2551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PointPainting (顺序融合)</w:t>
            </w:r>
          </w:p>
        </w:tc>
        <w:tc>
          <w:tcPr>
            <w:tcW w:type="dxa" w:w="5102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CVPR 2020 (Vora et al.)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深度学习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BEVFusion (BEV 空间融合)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ICCV 2023 最佳学生论文 (Liu et al.)</w:t>
            </w:r>
          </w:p>
        </w:tc>
      </w:tr>
      <w:tr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深度学习</w:t>
            </w:r>
          </w:p>
        </w:tc>
        <w:tc>
          <w:tcPr>
            <w:tcW w:type="dxa" w:w="2551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TransFusion (Transformer 软关联)</w:t>
            </w:r>
          </w:p>
        </w:tc>
        <w:tc>
          <w:tcPr>
            <w:tcW w:type="dxa" w:w="5102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CVPR 2022 (Bai et al.)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深度学习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CRN (Camera-Radar Net)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NeurIPS 2022 (Long et al.)</w:t>
            </w:r>
          </w:p>
        </w:tc>
      </w:tr>
      <w:tr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深度学习</w:t>
            </w:r>
          </w:p>
        </w:tc>
        <w:tc>
          <w:tcPr>
            <w:tcW w:type="dxa" w:w="2551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DeepFusion (Waymo 工业方案)</w:t>
            </w:r>
          </w:p>
        </w:tc>
        <w:tc>
          <w:tcPr>
            <w:tcW w:type="dxa" w:w="5102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Waymo 2022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端到端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占用网络 (OccNet / OccFormer)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CVPR 2023 (Wang et al.)</w:t>
            </w:r>
          </w:p>
        </w:tc>
      </w:tr>
    </w:tbl>
    <w:p>
      <w:pPr>
        <w:spacing w:before="280" w:after="120"/>
      </w:pPr>
      <w:r>
        <w:rPr>
          <w:rFonts w:ascii="STHeiti Medium" w:hAnsi="STHeiti Medium" w:eastAsia="STHeiti Medium"/>
          <w:b/>
          <w:color w:val="1F3A68"/>
          <w:sz w:val="36"/>
        </w:rPr>
        <w:t>4. 经典滤波类算法详解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4.1 IEKF — 迭代扩展卡尔曼滤波 (Iterated EKF)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原理: 在 update 阶段多次迭代重线性化观测方程,处理强非线性。相比 EKF 一次性更新,在远距/低信噪比场景下精度显著提升。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self-driving-sim 适配: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复杂度: 代码量 ~50 行,直接包装现有 EKF update 即可。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瓶颈: 迭代次数 3-5 次,单帧时延 +0.5ms,在 50ms 帧周期内可接受。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预期收益: 远距目标 (&gt;50m) 位置 RMSE 降低 10-20%。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参考: Bell &amp; Cathey 1993 "The iterated Kalman filter update as a Gauss-Newton method"。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4.2 RBPF — Rao-Blackwellized 粒子滤波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原理: 把状态拆分为"线性高斯子空间"(EKF 处理) + "非线性非高斯子空间"(粒子滤波处理)。在 SLAM 中非常成功 (GMapping),用于跟踪可在"自车运动模型 + 多目标存在/消失"上发力。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self-driving-sim 适配: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适用场景: 目标数量/类别随时间变化的场景 (行人横穿、车辆 cut-in)。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复杂度: 中,需新写 1 个模块 (~200 行),粒子数 50-100 即可。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风险: 计算量比 EKF 高 1-2 个数量级,需向量化和 numba 加速。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4.3 CTRV / Singer 模型 (运动学扩展)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原理: CTRV (Constant Turn Rate and Velocity) 把转向率加入状态,适合弯道;Singer 模型假设加速度是时变零均值的,适合机动目标。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self-driving-sim 适配: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当前 IMM 只有 CV + CA 两模型,加 CTRV 后能处理 Urban / Junction 弯道场景。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复杂度: CTRV 是非线性,需要用 UKF 或 EKF with Jacobian 推导。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实施: 在 fusion/imm.py 增加模型 3,Markov 转移矩阵 3×3。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4.4 多模型 IMM (≥3 模型)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原理: 经典 IMM 是 2 模型,可扩展到 N 个 (3-5 较常见),Markov 转移矩阵 N×N。模型池越丰富,对机动模式覆盖越好。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self-driving-sim 适配: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建议配置: CV (高速直线) + CA (中等机动) + CTRV (弯道) + Singer (随机机动)。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复杂度: 模型间混合概率计算略增,可用 filterpy 已有 IMM 实现参考。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预期收益: 在 StopAndGo / Junction 场景下 MOTA +0.02-0.04。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1F3A68"/>
          <w:sz w:val="36"/>
        </w:rPr>
        <w:t>5. 数据关联算法详解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5.1 GNNS — Global Nearest Neighbor Standard filter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原理: 相比 NN (单目标最近),GNNS 考虑所有目标的关联组合,用马氏距离 chi-square 门限 + 全局最优匹配。解决 NN 在密集场景下"近邻误匹配"的问题。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self-driving-sim 适配: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代码量: ~80 行,在 association.py 已有 Hungarian 基础上加门限过滤。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关键参数: 门限 chi-square 0.95 分位 (3D = 7.815) vs 0.99 (3D = 11.34)。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预期收益: 密集场景下 ID Switches 降低 30-50%。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5.2 JCBB — Joint Compatibility Branch and Bound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原理: 验证一组关联是否"联合一致"(所有配对都通过个体门限,且几何一致)。比 GNNS 严格,密集场景下能解决"漏检被误匹配"的问题。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self-driving-sim 适配: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复杂度: 组合搜索,需 Branch and Bound 剪枝,实现 ~150 行。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适用: 6+ 目标密集场景 (Dense Highway 24 车)。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预期收益: ID Switches 进一步降低 20%,但计算量 +2-3x。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5.3 LMB — Labeled Multi-Bernoulli Filter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原理: 随机有限集 (RFS) 框架下,每个目标用 Bernoulli 分布建模(存在概率 + 状态)。标签 LMB 是 Maher 2003 提出,Reuter 2014 实现,后被 Maher 整理为 μ(t)·LMB 实现。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self-driving-sim 适配: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代码量: ~300-400 行新模块,需要 Murty 算法 + RFS 数学。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优势: 不需要显式 Hungarian/JPDA,目标数量是状态的一部分(无需 min_hits 启发式)。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库参考: 澳洲 DSTG 的 Stone Soup 框架有完整实现 (Python)。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预期收益: MOTA +0.05-0.10,密集场景下表现稳定。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5.4 PMBM — Poisson Multi-Bernoulli Mixture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原理: LMB 的概率化升级版,处理未知出生目标更自然。Williams 2017 提出,García-Fernández 2018 实现 GGIW-PMBM。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self-driving-sim 适配: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适用: 行人/摩托车等"出现/消失"频繁的目标。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复杂度: 实施成本高,建议作为 P4 长期目标,先用 LMB 验证。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1F3A68"/>
          <w:sz w:val="36"/>
        </w:rPr>
        <w:t>6. 深度学习融合算法 (BEV / Transformer)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6.1 PointPainting — 顺序级联融合 (CVPR 2020)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原理: 1) 用语义分割网络处理图像;2) 把每个 LiDAR 点的对应图像像素的类分数附加到点上;3) 增强的点云送入任意点云检测器。是一种"早期融合"策略。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self-driving-sim 适配: ❌ 不推荐。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需要: 训练好的语义分割网络 (HRNet / DeepLab),本项目无图像渲染(只占位图)。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价值: 与项目"轻量可解释"定位冲突,引入 100MB+ 模型 + GPU 推理。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若日后引入真实数据集 (nuScenes mini) 训练,可作为 P6 探索方向。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6.2 BEVFusion — BEV 空间统一表征 (MIT, ICCV 2023)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原理: 1) Camera 通过 2D Backbone + LSS 提升到 BEV 空间;2) LiDAR 通过点云/Pillar/Voxel 编码到 BEV;3) BEV 空间 Concat/Sum 融合;4) BEV 上的检测头输出 3D Box。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self-driving-sim 适配: ⚠️ 谨慎评估。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项目特征</w:t>
            </w:r>
          </w:p>
        </w:tc>
        <w:tc>
          <w:tcPr>
            <w:tcW w:type="dxa" w:w="3118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BEVFusion 需求</w:t>
            </w:r>
          </w:p>
        </w:tc>
        <w:tc>
          <w:tcPr>
            <w:tcW w:type="dxa" w:w="2268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匹配度</w:t>
            </w:r>
          </w:p>
        </w:tc>
      </w:tr>
      <w:tr>
        <w:tc>
          <w:tcPr>
            <w:tcW w:type="dxa" w:w="1984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传感器</w:t>
            </w:r>
          </w:p>
        </w:tc>
        <w:tc>
          <w:tcPr>
            <w:tcW w:type="dxa" w:w="3118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Camera + LiDAR</w:t>
            </w:r>
          </w:p>
        </w:tc>
        <w:tc>
          <w:tcPr>
            <w:tcW w:type="dxa" w:w="2268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✅ 有(占位图)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目标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3D 检测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✅ 有(Detection class)</w:t>
            </w:r>
          </w:p>
        </w:tc>
      </w:tr>
      <w:tr>
        <w:tc>
          <w:tcPr>
            <w:tcW w:type="dxa" w:w="1984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标注</w:t>
            </w:r>
          </w:p>
        </w:tc>
        <w:tc>
          <w:tcPr>
            <w:tcW w:type="dxa" w:w="3118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3D Box 标注</w:t>
            </w:r>
          </w:p>
        </w:tc>
        <w:tc>
          <w:tcPr>
            <w:tcW w:type="dxa" w:w="2268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⚠️ 有 GT(仿真)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计算资源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GPU + 训练 pipeline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❌ 项目无</w:t>
            </w:r>
          </w:p>
        </w:tc>
      </w:tr>
      <w:tr>
        <w:tc>
          <w:tcPr>
            <w:tcW w:type="dxa" w:w="1984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定位</w:t>
            </w:r>
          </w:p>
        </w:tc>
        <w:tc>
          <w:tcPr>
            <w:tcW w:type="dxa" w:w="3118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实时检测</w:t>
            </w:r>
          </w:p>
        </w:tc>
        <w:tc>
          <w:tcPr>
            <w:tcW w:type="dxa" w:w="2268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⚠️ 项目更偏跟踪</w:t>
            </w:r>
          </w:p>
        </w:tc>
      </w:tr>
    </w:tbl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评估: BEVFusion 是检测级融合,本项目更关注"跟踪级融合"。如果未来要做"仿真数据 → 训练 → 部署验证"闭环,BEVFusion 是 P5-P6 候选。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6.3 TransFusion — 鲁棒 LiDAR-Camera 融合 (CVPR 2022)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原理: 用 Transformer Decoder 软关联 (soft-association) 替代传统硬投影,在图像质量差 / 标定偏差时仍能融合。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self-driving-sim 适配: ⚠️ 长期方向。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代码量: ~500 行(含 Transformer 头),需 PyTorch + 训练 pipeline。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价值: 解决雨雾天气下"图像特征被污染"问题,与 v0.2.2 weather 模块契合。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可参考: nuScenes leaderboard 上 TransFusion-L (Large) 版本是 SOTA 之一。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6.4 DeepFusion — Waymo 工业级融合 (2022)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原理: 用 InverseAug + Quality-Aware 融合模块,关键是处理"自车运动导致的点云畸变"(Waymo 5Hz, 高速下不可忽略)。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self-driving-sim 适配: ✅ InverseAug 思路可借鉴。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InverseAug: 训练时随机增强 (旋转/翻转/缩放),推理时反向,减少过拟合真实数据的过强纹理。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可作为 P3 短期措施: 在仿真数据上做 data augmentation,训练后模型对真实数据泛化更好。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原始论文: Li et al. "DeepFusion: A Robust Waymo Dataset Fusion Approach" arXiv 2022。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1F3A68"/>
          <w:sz w:val="36"/>
        </w:rPr>
        <w:t>7. 占用网络与端到端方案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7.1 占用网络 (Occupancy Networks)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原理: 把 3D 空间划分成体素 (e.g. 256x256x16),对每个体素预测"是否被占据" + "语义类别"。比 3D Box 检测更细粒度,能检测异形障碍物 (挂车、树枝、落石)。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代表工作: Tesla AI Day 2022 (HydraNet); OccFormer (CVPR 2023); OccNet (TPAMI 2023)。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self-driving-sim 适配: ⚠️ 长期 (P6+)。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价值: 与本项目"高保真仿真"契合 — 仿真天然有完整 3D 占用,适合生成训练数据。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成本: 实施需 GPU + 训练 + 体素标注,6 个月起步。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路径: 先用仿真数据训一个简化版 OccNet (5-10 类),验证后接真实数据。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7.2 端到端规划 (UniAD / Think2Drive)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原理: 把"感知 + 预测 + 规划"统一到一个可微图中端到端训练。代表: UniAD (CVPR 2023 Best Paper); Think2Drive (2024)。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self-driving-sim 适配: ❌ 不推荐。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本项目明确"非目标: 端到端驾驶决策/规划/控制"(见 ARCHITECTURE.md §1)。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未来若扩展到规划决策,UniAD 是参考,但工作量 12+ 月。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1F3A68"/>
          <w:sz w:val="36"/>
        </w:rPr>
        <w:t>8. 算法横向对比矩阵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12 个候选算法 + 7 个评估维度: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417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算法</w:t>
            </w:r>
          </w:p>
        </w:tc>
        <w:tc>
          <w:tcPr>
            <w:tcW w:type="dxa" w:w="850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流派</w:t>
            </w:r>
          </w:p>
        </w:tc>
        <w:tc>
          <w:tcPr>
            <w:tcW w:type="dxa" w:w="1417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代码量</w:t>
            </w:r>
          </w:p>
        </w:tc>
        <w:tc>
          <w:tcPr>
            <w:tcW w:type="dxa" w:w="850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实施周数</w:t>
            </w:r>
          </w:p>
        </w:tc>
        <w:tc>
          <w:tcPr>
            <w:tcW w:type="dxa" w:w="1417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MOTA 提升</w:t>
            </w:r>
          </w:p>
        </w:tc>
        <w:tc>
          <w:tcPr>
            <w:tcW w:type="dxa" w:w="850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计算开销</w:t>
            </w:r>
          </w:p>
        </w:tc>
        <w:tc>
          <w:tcPr>
            <w:tcW w:type="dxa" w:w="850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适配度</w:t>
            </w:r>
          </w:p>
        </w:tc>
      </w:tr>
      <w:tr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Ego-motion 补偿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运动学</w:t>
            </w:r>
          </w:p>
        </w:tc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100行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1</w:t>
            </w:r>
          </w:p>
        </w:tc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+0.03~0.05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0%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★★★★★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GNNS 关联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关联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80行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+0.02~0.04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+10%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★★★★★</w:t>
            </w:r>
          </w:p>
        </w:tc>
      </w:tr>
      <w:tr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JCBB 关联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关联</w:t>
            </w:r>
          </w:p>
        </w:tc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150行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2</w:t>
            </w:r>
          </w:p>
        </w:tc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+0.02~0.04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+200%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★★★★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IEKF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滤波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50行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+0.02~0.03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+5%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★★★★★</w:t>
            </w:r>
          </w:p>
        </w:tc>
      </w:tr>
      <w:tr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IMM 3+ 模型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滤波</w:t>
            </w:r>
          </w:p>
        </w:tc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200行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2</w:t>
            </w:r>
          </w:p>
        </w:tc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+0.02~0.04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+20%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★★★★★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CTRV 模型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滤波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100行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+0.01~0.03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+10%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★★★★</w:t>
            </w:r>
          </w:p>
        </w:tc>
      </w:tr>
      <w:tr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RBPF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滤波</w:t>
            </w:r>
          </w:p>
        </w:tc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250行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3</w:t>
            </w:r>
          </w:p>
        </w:tc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+0.03~0.06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+500%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LMB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RFS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400行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+0.05~0.10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+50%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★★★★</w:t>
            </w:r>
          </w:p>
        </w:tc>
      </w:tr>
      <w:tr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PMBM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RFS</w:t>
            </w:r>
          </w:p>
        </w:tc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600行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8</w:t>
            </w:r>
          </w:p>
        </w:tc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+0.06~0.12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+80%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PointPainting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DL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300行+训练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12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架构级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GPU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</w:t>
            </w:r>
          </w:p>
        </w:tc>
      </w:tr>
      <w:tr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BEVFusion-Lite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DL</w:t>
            </w:r>
          </w:p>
        </w:tc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800行+训练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16</w:t>
            </w:r>
          </w:p>
        </w:tc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架构级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GPU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TransFusion-Lite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DL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600行+训练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10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架构级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GPU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</w:t>
            </w:r>
          </w:p>
        </w:tc>
      </w:tr>
      <w:tr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OccNet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DL</w:t>
            </w:r>
          </w:p>
        </w:tc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1000行+训练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24</w:t>
            </w:r>
          </w:p>
        </w:tc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新模块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GPU×多卡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</w:t>
            </w:r>
          </w:p>
        </w:tc>
      </w:tr>
    </w:tbl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适配度计算依据: 1) 现有架构契合度;2) 数据/标注/算力需求;3) 与 v0.3 模块的复用率。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1F3A68"/>
          <w:sz w:val="36"/>
        </w:rPr>
        <w:t>9. 与 self-driving-sim 适配性评估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9.1 项目定位回看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从 README + ARCHITECTURE.md 提炼项目核心定位: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🎯 目标: 本地可运行的多传感器仿真 + 融合平台,非自动驾驶决策系统。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🎯 范围: 感知层 (检测 + 跟踪) + 评估,不涉及规划/控制。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🎯 价值: 算法学习 / 教学 / 求职作品集,非生产部署。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🎯 用户: 1 人 (aslan),非团队协作,因此深度学习训练 pipeline 价值有限。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9.2 算法优先级排序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基于"价值/成本比"做最终排序: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680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排序</w:t>
            </w:r>
          </w:p>
        </w:tc>
        <w:tc>
          <w:tcPr>
            <w:tcW w:type="dxa" w:w="1701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算法</w:t>
            </w:r>
          </w:p>
        </w:tc>
        <w:tc>
          <w:tcPr>
            <w:tcW w:type="dxa" w:w="1020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价值</w:t>
            </w:r>
          </w:p>
        </w:tc>
        <w:tc>
          <w:tcPr>
            <w:tcW w:type="dxa" w:w="850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成本</w:t>
            </w:r>
          </w:p>
        </w:tc>
        <w:tc>
          <w:tcPr>
            <w:tcW w:type="dxa" w:w="1020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推荐度</w:t>
            </w:r>
          </w:p>
        </w:tc>
        <w:tc>
          <w:tcPr>
            <w:tcW w:type="dxa" w:w="3402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68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1</w:t>
            </w:r>
          </w:p>
        </w:tc>
        <w:tc>
          <w:tcPr>
            <w:tcW w:type="dxa" w:w="1701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Ego-motion 补偿</w:t>
            </w:r>
          </w:p>
        </w:tc>
        <w:tc>
          <w:tcPr>
            <w:tcW w:type="dxa" w:w="102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★★★★★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</w:t>
            </w:r>
          </w:p>
        </w:tc>
        <w:tc>
          <w:tcPr>
            <w:tcW w:type="dxa" w:w="102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★★★★★</w:t>
            </w:r>
          </w:p>
        </w:tc>
        <w:tc>
          <w:tcPr>
            <w:tcW w:type="dxa" w:w="3402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刚需,补关键缺口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GNNS 关联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★★★★★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★★★★★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代码量小,效果立竿见影</w:t>
            </w:r>
          </w:p>
        </w:tc>
      </w:tr>
      <w:tr>
        <w:tc>
          <w:tcPr>
            <w:tcW w:type="dxa" w:w="68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3</w:t>
            </w:r>
          </w:p>
        </w:tc>
        <w:tc>
          <w:tcPr>
            <w:tcW w:type="dxa" w:w="1701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IMM 3+ 模型</w:t>
            </w:r>
          </w:p>
        </w:tc>
        <w:tc>
          <w:tcPr>
            <w:tcW w:type="dxa" w:w="102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★★★★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</w:t>
            </w:r>
          </w:p>
        </w:tc>
        <w:tc>
          <w:tcPr>
            <w:tcW w:type="dxa" w:w="102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★★★★</w:t>
            </w:r>
          </w:p>
        </w:tc>
        <w:tc>
          <w:tcPr>
            <w:tcW w:type="dxa" w:w="3402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扩展场景覆盖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IEKF 升级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★★★★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★★★★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包装现有 EKF 即可</w:t>
            </w:r>
          </w:p>
        </w:tc>
      </w:tr>
      <w:tr>
        <w:tc>
          <w:tcPr>
            <w:tcW w:type="dxa" w:w="68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5</w:t>
            </w:r>
          </w:p>
        </w:tc>
        <w:tc>
          <w:tcPr>
            <w:tcW w:type="dxa" w:w="1701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JCBB 关联</w:t>
            </w:r>
          </w:p>
        </w:tc>
        <w:tc>
          <w:tcPr>
            <w:tcW w:type="dxa" w:w="102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★★★★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</w:t>
            </w:r>
          </w:p>
        </w:tc>
        <w:tc>
          <w:tcPr>
            <w:tcW w:type="dxa" w:w="102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</w:t>
            </w:r>
          </w:p>
        </w:tc>
        <w:tc>
          <w:tcPr>
            <w:tcW w:type="dxa" w:w="3402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密集场景用,日常场景过度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CTRV 模型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弯道场景受益</w:t>
            </w:r>
          </w:p>
        </w:tc>
      </w:tr>
      <w:tr>
        <w:tc>
          <w:tcPr>
            <w:tcW w:type="dxa" w:w="68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7</w:t>
            </w:r>
          </w:p>
        </w:tc>
        <w:tc>
          <w:tcPr>
            <w:tcW w:type="dxa" w:w="1701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LMB</w:t>
            </w:r>
          </w:p>
        </w:tc>
        <w:tc>
          <w:tcPr>
            <w:tcW w:type="dxa" w:w="102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★★★★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★★★★</w:t>
            </w:r>
          </w:p>
        </w:tc>
        <w:tc>
          <w:tcPr>
            <w:tcW w:type="dxa" w:w="102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</w:t>
            </w:r>
          </w:p>
        </w:tc>
        <w:tc>
          <w:tcPr>
            <w:tcW w:type="dxa" w:w="3402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学术价值高,实施成本大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RBPF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过度设计,场景不匹配</w:t>
            </w:r>
          </w:p>
        </w:tc>
      </w:tr>
      <w:tr>
        <w:tc>
          <w:tcPr>
            <w:tcW w:type="dxa" w:w="68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9</w:t>
            </w:r>
          </w:p>
        </w:tc>
        <w:tc>
          <w:tcPr>
            <w:tcW w:type="dxa" w:w="1701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PMBM</w:t>
            </w:r>
          </w:p>
        </w:tc>
        <w:tc>
          <w:tcPr>
            <w:tcW w:type="dxa" w:w="102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★★★★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★★★★★</w:t>
            </w:r>
          </w:p>
        </w:tc>
        <w:tc>
          <w:tcPr>
            <w:tcW w:type="dxa" w:w="102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</w:t>
            </w:r>
          </w:p>
        </w:tc>
        <w:tc>
          <w:tcPr>
            <w:tcW w:type="dxa" w:w="3402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LMB 升级,先 LMB 后 PMBM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10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BEVFusion-Lite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★★★★★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架构级改动,与定位冲突</w:t>
            </w:r>
          </w:p>
        </w:tc>
      </w:tr>
      <w:tr>
        <w:tc>
          <w:tcPr>
            <w:tcW w:type="dxa" w:w="68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11</w:t>
            </w:r>
          </w:p>
        </w:tc>
        <w:tc>
          <w:tcPr>
            <w:tcW w:type="dxa" w:w="1701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TransFusion-Lite</w:t>
            </w:r>
          </w:p>
        </w:tc>
        <w:tc>
          <w:tcPr>
            <w:tcW w:type="dxa" w:w="102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</w:t>
            </w:r>
          </w:p>
        </w:tc>
        <w:tc>
          <w:tcPr>
            <w:tcW w:type="dxa" w:w="85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★★★★</w:t>
            </w:r>
          </w:p>
        </w:tc>
        <w:tc>
          <w:tcPr>
            <w:tcW w:type="dxa" w:w="1020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</w:t>
            </w:r>
          </w:p>
        </w:tc>
        <w:tc>
          <w:tcPr>
            <w:tcW w:type="dxa" w:w="3402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需要训练 pipeline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12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OccNet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★★★★★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★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未来扩展方向,非主线</w:t>
            </w:r>
          </w:p>
        </w:tc>
      </w:tr>
    </w:tbl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9.3 风险与不适配项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以下算法不推荐在本项目实施的明确理由: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❌ 深度学习端到端 (BEVFusion/TransFusion):项目无 GPU 训练环境,且定位"轻量可解释";但若 v2 转向"仿真 → 训练 → 部署",则可考虑。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❌ L4/L5 自动驾驶级 SOTA:Waymo/Tesla 内部方案,不开源,无法复现。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❌ ROS 集成 (在 P3 路线):ARCHITECTURE.md 已明确"v2 再考虑",本报告假设仍是单进程 Python。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⚠️ Radar 径向速度融合:本项目 Radar 只输出距离/角度,未输出径向速度;若开启,需要先在 sensors/radar.py 加 radial_velocity 字段。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1F3A68"/>
          <w:sz w:val="36"/>
        </w:rPr>
        <w:t>10. 推荐实施路线图 (P3 → P6)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10.1 P3 — 短期 (1-2 月): 关键缺口补齐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目标: 在现有架构内补全"鲁棒性",冲刺 MOTA +0.05 ~ +0.10。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3D3D3D"/>
          <w:sz w:val="24"/>
        </w:rPr>
        <w:t>Step 1: Ego-motion 补偿 (1 周)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现状问题: 自车在高速场景下,传感器坐标系随时间变化,目标位置预测应使用自车运动补偿后的位置。目前 EKF predict 用世界坐标系固定 dt,没有用 IMU 预测自车运动。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实施方案:</w:t>
      </w:r>
    </w:p>
    <w:p>
      <w:pPr>
        <w:spacing w:after="40" w:before="40"/>
        <w:ind w:left="283"/>
      </w:pPr>
      <w:r>
        <w:rPr>
          <w:rFonts w:ascii="Menlo" w:hAnsi="Menlo"/>
          <w:sz w:val="20"/>
          <w:rFonts w:ascii="Menlo" w:hAnsi="Menlo" w:eastAsia="STHeiti Medium"/>
        </w:rPr>
        <w:t># fusion/ekf.py EKFTrack.update 之前</w:t>
      </w:r>
    </w:p>
    <w:p>
      <w:pPr>
        <w:spacing w:after="40" w:before="40"/>
        <w:ind w:left="283"/>
      </w:pPr>
      <w:r>
        <w:rPr>
          <w:rFonts w:ascii="Menlo" w:hAnsi="Menlo"/>
          <w:sz w:val="20"/>
          <w:rFonts w:ascii="Menlo" w:hAnsi="Menlo" w:eastAsia="STHeiti Medium"/>
        </w:rPr>
        <w:t>def predict(self, dt_actual, ego_motion=None):</w:t>
      </w:r>
    </w:p>
    <w:p>
      <w:pPr>
        <w:spacing w:after="40" w:before="40"/>
        <w:ind w:left="283"/>
      </w:pPr>
      <w:r>
        <w:rPr>
          <w:rFonts w:ascii="Menlo" w:hAnsi="Menlo"/>
          <w:sz w:val="20"/>
          <w:rFonts w:ascii="Menlo" w:hAnsi="Menlo" w:eastAsia="STHeiti Medium"/>
        </w:rPr>
        <w:t xml:space="preserve">    if ego_motion is not None:</w:t>
      </w:r>
    </w:p>
    <w:p>
      <w:pPr>
        <w:spacing w:after="40" w:before="40"/>
        <w:ind w:left="283"/>
      </w:pPr>
      <w:r>
        <w:rPr>
          <w:rFonts w:ascii="Menlo" w:hAnsi="Menlo"/>
          <w:sz w:val="20"/>
          <w:rFonts w:ascii="Menlo" w:hAnsi="Menlo" w:eastAsia="STHeiti Medium"/>
        </w:rPr>
        <w:t xml:space="preserve">        # 用 IMU 推算自车位移,补偿传感器坐标系</w:t>
      </w:r>
    </w:p>
    <w:p>
      <w:pPr>
        <w:spacing w:after="40" w:before="40"/>
        <w:ind w:left="283"/>
      </w:pPr>
      <w:r>
        <w:rPr>
          <w:rFonts w:ascii="Menlo" w:hAnsi="Menlo"/>
          <w:sz w:val="20"/>
          <w:rFonts w:ascii="Menlo" w:hAnsi="Menlo" w:eastAsia="STHeiti Medium"/>
        </w:rPr>
        <w:t xml:space="preserve">        self.kf.x[:3] -= ego_motion['delta_position']</w:t>
      </w:r>
    </w:p>
    <w:p>
      <w:pPr>
        <w:spacing w:after="40" w:before="40"/>
        <w:ind w:left="283"/>
      </w:pPr>
      <w:r>
        <w:rPr>
          <w:rFonts w:ascii="Menlo" w:hAnsi="Menlo"/>
          <w:sz w:val="20"/>
          <w:rFonts w:ascii="Menlo" w:hAnsi="Menlo" w:eastAsia="STHeiti Medium"/>
        </w:rPr>
        <w:t xml:space="preserve">        self.kf.x[3:6] -= ego_motion['delta_velocity']</w:t>
      </w:r>
    </w:p>
    <w:p>
      <w:pPr>
        <w:spacing w:after="40" w:before="40"/>
        <w:ind w:left="283"/>
      </w:pPr>
      <w:r>
        <w:rPr>
          <w:rFonts w:ascii="Menlo" w:hAnsi="Menlo"/>
          <w:sz w:val="20"/>
          <w:rFonts w:ascii="Menlo" w:hAnsi="Menlo" w:eastAsia="STHeiti Medium"/>
        </w:rPr>
        <w:t xml:space="preserve">    self.kf.predict()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验收: Highway 60 m/s 场景下位置 RMSE 降低 ≥10%。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3D3D3D"/>
          <w:sz w:val="24"/>
        </w:rPr>
        <w:t>Step 2: GNNS 关联 (2 周)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实施方案: 在 fusion/association.py 现有 hungarian_associate 基础上,加 chi-square 门限过滤。</w:t>
      </w:r>
    </w:p>
    <w:p>
      <w:pPr>
        <w:spacing w:after="40" w:before="40"/>
        <w:ind w:left="283"/>
      </w:pPr>
      <w:r>
        <w:rPr>
          <w:rFonts w:ascii="Menlo" w:hAnsi="Menlo"/>
          <w:sz w:val="20"/>
          <w:rFonts w:ascii="Menlo" w:hAnsi="Menlo" w:eastAsia="STHeiti Medium"/>
        </w:rPr>
        <w:t>def gnns_associate(detections, tracks, gate_chi2=7.815):</w:t>
      </w:r>
    </w:p>
    <w:p>
      <w:pPr>
        <w:spacing w:after="40" w:before="40"/>
        <w:ind w:left="283"/>
      </w:pPr>
      <w:r>
        <w:rPr>
          <w:rFonts w:ascii="Menlo" w:hAnsi="Menlo"/>
          <w:sz w:val="20"/>
          <w:rFonts w:ascii="Menlo" w:hAnsi="Menlo" w:eastAsia="STHeiti Medium"/>
        </w:rPr>
        <w:t xml:space="preserve">    # gate_chi2=7.815 是 3D chi-square 95% 分位</w:t>
      </w:r>
    </w:p>
    <w:p>
      <w:pPr>
        <w:spacing w:after="40" w:before="40"/>
        <w:ind w:left="283"/>
      </w:pPr>
      <w:r>
        <w:rPr>
          <w:rFonts w:ascii="Menlo" w:hAnsi="Menlo"/>
          <w:sz w:val="20"/>
          <w:rFonts w:ascii="Menlo" w:hAnsi="Menlo" w:eastAsia="STHeiti Medium"/>
        </w:rPr>
        <w:t xml:space="preserve">    candidates = []</w:t>
      </w:r>
    </w:p>
    <w:p>
      <w:pPr>
        <w:spacing w:after="40" w:before="40"/>
        <w:ind w:left="283"/>
      </w:pPr>
      <w:r>
        <w:rPr>
          <w:rFonts w:ascii="Menlo" w:hAnsi="Menlo"/>
          <w:sz w:val="20"/>
          <w:rFonts w:ascii="Menlo" w:hAnsi="Menlo" w:eastAsia="STHeiti Medium"/>
        </w:rPr>
        <w:t xml:space="preserve">    for i, det in enumerate(detections):</w:t>
      </w:r>
    </w:p>
    <w:p>
      <w:pPr>
        <w:spacing w:after="40" w:before="40"/>
        <w:ind w:left="283"/>
      </w:pPr>
      <w:r>
        <w:rPr>
          <w:rFonts w:ascii="Menlo" w:hAnsi="Menlo"/>
          <w:sz w:val="20"/>
          <w:rFonts w:ascii="Menlo" w:hAnsi="Menlo" w:eastAsia="STHeiti Medium"/>
        </w:rPr>
        <w:t xml:space="preserve">        for j, trk in enumerate(tracks):</w:t>
      </w:r>
    </w:p>
    <w:p>
      <w:pPr>
        <w:spacing w:after="40" w:before="40"/>
        <w:ind w:left="283"/>
      </w:pPr>
      <w:r>
        <w:rPr>
          <w:rFonts w:ascii="Menlo" w:hAnsi="Menlo"/>
          <w:sz w:val="20"/>
          <w:rFonts w:ascii="Menlo" w:hAnsi="Menlo" w:eastAsia="STHeiti Medium"/>
        </w:rPr>
        <w:t xml:space="preserve">            d2 = _mahal_distance_sq(det.position, trk.kf.x, trk.kf.P)</w:t>
      </w:r>
    </w:p>
    <w:p>
      <w:pPr>
        <w:spacing w:after="40" w:before="40"/>
        <w:ind w:left="283"/>
      </w:pPr>
      <w:r>
        <w:rPr>
          <w:rFonts w:ascii="Menlo" w:hAnsi="Menlo"/>
          <w:sz w:val="20"/>
          <w:rFonts w:ascii="Menlo" w:hAnsi="Menlo" w:eastAsia="STHeiti Medium"/>
        </w:rPr>
        <w:t xml:space="preserve">            if d2 &lt; gate_chi2:</w:t>
      </w:r>
    </w:p>
    <w:p>
      <w:pPr>
        <w:spacing w:after="40" w:before="40"/>
        <w:ind w:left="283"/>
      </w:pPr>
      <w:r>
        <w:rPr>
          <w:rFonts w:ascii="Menlo" w:hAnsi="Menlo"/>
          <w:sz w:val="20"/>
          <w:rFonts w:ascii="Menlo" w:hAnsi="Menlo" w:eastAsia="STHeiti Medium"/>
        </w:rPr>
        <w:t xml:space="preserve">                candidates.append((d2, i, j))</w:t>
      </w:r>
    </w:p>
    <w:p>
      <w:pPr>
        <w:spacing w:after="40" w:before="40"/>
        <w:ind w:left="283"/>
      </w:pPr>
      <w:r>
        <w:rPr>
          <w:rFonts w:ascii="Menlo" w:hAnsi="Menlo"/>
          <w:sz w:val="20"/>
          <w:rFonts w:ascii="Menlo" w:hAnsi="Menlo" w:eastAsia="STHeiti Medium"/>
        </w:rPr>
        <w:t xml:space="preserve">    # 用 Hungarian 在 candidates 子集上求最优</w:t>
      </w:r>
    </w:p>
    <w:p>
      <w:pPr>
        <w:spacing w:after="40" w:before="40"/>
        <w:ind w:left="283"/>
      </w:pPr>
      <w:r>
        <w:rPr>
          <w:rFonts w:ascii="Menlo" w:hAnsi="Menlo"/>
          <w:sz w:val="20"/>
          <w:rFonts w:ascii="Menlo" w:hAnsi="Menlo" w:eastAsia="STHeiti Medium"/>
        </w:rPr>
        <w:t xml:space="preserve">    return hungarian_on_pairs(candidates)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验收: Dense Highway 24 车 ID Switches 降低 ≥30%。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3D3D3D"/>
          <w:sz w:val="24"/>
        </w:rPr>
        <w:t>Step 3: IMM 3+ 模型 (2 周)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实施方案: 在 fusion/imm.py 新增 CTRV (匀速+恒定转向率) 模型,扩展 Markov 矩阵到 3×3。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验收: Urban / Junction 弯道场景下位置 RMSE 降低 ≥15%。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3D3D3D"/>
          <w:sz w:val="24"/>
        </w:rPr>
        <w:t>Step 4: IEKF 升级 (1 周)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实施方案: 在 fusion/ekf.py update() 加迭代开关,max_iter=3,残差 &lt; 1e-3 停止。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P3 总结: 4 个小项 6 周,MOTA 预期 +0.07 ~ +0.12。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10.2 P4 — 中期 (3-6 月): 现代 RFS 跟踪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3D3D3D"/>
          <w:sz w:val="24"/>
        </w:rPr>
        <w:t>Step 5: LMB 跟踪器 (6 周)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目标: 实现 Labeled Multi-Bernoulli Filter,目标数量是状态的一部分。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参考实现: Stone Soup 框架 (https://github.com/dstl/Stone-Soup),MIT 许可,可直接参考 LMB 模块。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实施: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1) pip install stonesoup (有现成的 RFS 实现)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2) 在 fusion/lmb.py 包装 Stone Soup 的 LMBUpdate/SMCPredict 模块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3) 在 MultiObjectTracker 加 association_mode='lmb' 开关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验收: 在 24 车 + 5 行人场景 MOTA ≥+0.30。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3D3D3D"/>
          <w:sz w:val="24"/>
        </w:rPr>
        <w:t>Step 6: 真实数据集回归 (4 周)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目标: 用 v0.3 已集成的 nuScenes mini 数据集做 LMB 回归测试,与 leaderboard 对比。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步骤: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1) 完成 MEMORY.md 提到的 nuScenes mini 下载 (5GB)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2) 在 scripts/eval_nuscenes_lmb.py 跑 MOTA/MOTP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3) 对比 nuScenes leaderboard,验证 LMB 在简化版上能跑通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P4 总结: 10 周,产物 = LMB 模块 + nuScenes 回归 baseline。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10.3 P5 — 长期 (6-12 月): 架构级探索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3D3D3D"/>
          <w:sz w:val="24"/>
        </w:rPr>
        <w:t>Step 7: BEV 空间统一表征 (12 周)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目标: 引入 BEV 概念,统一 LiDAR/Camera/Radar 的特征空间。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简化方案 (BEV-Lite):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1) 不训练神经网络,只用"特征拼接"思想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2) 把 LiDAR 投影到 BEV (已用 DBSCAN 聚类得到的目标)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3) Camera 2D bbox 投影到 BEV (用仿真真值深度)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4) BEV 空间做 NMS + 关联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价值: 即使不上神经网络,BEV-Lite 也能在 v0.4 显著改善多传感器融合的"维度统一"问题。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10.4 P6 — 未来 (12+ 月): 占用网络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目标: 引入 3D 占用网络,做高保真 3D 场景理解。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前置条件: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1) 项目转向"仿真数据生成"(为训练提供合成数据)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2) 引入 GPU 训练环境 (MPS 或外置 GPU)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3) v1 大改,内容超出本报告范围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1F3A68"/>
          <w:sz w:val="36"/>
        </w:rPr>
        <w:t>11. 风险与权衡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11.1 技术风险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551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402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缓解措施</w:t>
            </w:r>
          </w:p>
        </w:tc>
      </w:tr>
      <w:tr>
        <w:tc>
          <w:tcPr>
            <w:tcW w:type="dxa" w:w="1984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IMU 积分漂移</w:t>
            </w:r>
          </w:p>
        </w:tc>
        <w:tc>
          <w:tcPr>
            <w:tcW w:type="dxa" w:w="2551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Ego-motion 补偿失效</w:t>
            </w:r>
          </w:p>
        </w:tc>
        <w:tc>
          <w:tcPr>
            <w:tcW w:type="dxa" w:w="3402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加零速更新 (ZUPT) 或 GPS 校正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LMB 计算量大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50ms 帧周期可能超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粒子数 50-100 + numba 加速</w:t>
            </w:r>
          </w:p>
        </w:tc>
      </w:tr>
      <w:tr>
        <w:tc>
          <w:tcPr>
            <w:tcW w:type="dxa" w:w="1984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真实数据格式复杂</w:t>
            </w:r>
          </w:p>
        </w:tc>
        <w:tc>
          <w:tcPr>
            <w:tcW w:type="dxa" w:w="2551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nuScenes 集成失败</w:t>
            </w:r>
          </w:p>
        </w:tc>
        <w:tc>
          <w:tcPr>
            <w:tcW w:type="dxa" w:w="3402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用 nuscenes-devkit 标准接口,先跑 mini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深度学习环境依赖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无法复现 leaderboard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MPS/Colab fallback + 简化模型</w:t>
            </w:r>
          </w:p>
        </w:tc>
      </w:tr>
      <w:tr>
        <w:tc>
          <w:tcPr>
            <w:tcW w:type="dxa" w:w="1984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算法间干扰</w:t>
            </w:r>
          </w:p>
        </w:tc>
        <w:tc>
          <w:tcPr>
            <w:tcW w:type="dxa" w:w="2551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新加模块破坏旧测试</w:t>
            </w:r>
          </w:p>
        </w:tc>
        <w:tc>
          <w:tcPr>
            <w:tcW w:type="dxa" w:w="3402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pytest 隔离 + 灰度发布</w:t>
            </w:r>
          </w:p>
        </w:tc>
      </w:tr>
    </w:tbl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11.2 项目管理风险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范围蔓延: P3-P6 跨越 12+ 月,作为 1 人项目,需克制"全做"冲动,建议每个季度只 1 个 milestone。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数据真实性: 仿真数据与真实数据分布差异大,过度拟合仿真数据反而降低泛化。建议始终把 nuScenes mini 作为"真实参考",定期跑回归。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算法 vs 工程平衡: 调研报告容易陷入"理论漂亮但工程不实用"陷阱。每个算法落地后必须有 pytest 验证 + 性能回归,不能"只加不测"。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2A4D80"/>
          <w:sz w:val="28"/>
        </w:rPr>
        <w:t>11.3 关键决策点 (Gate Criteria)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在 P3 → P4 / P4 → P5 切换时,需评估以下 gate: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P3 Gate: MOTA v7_noisy ≥ +0.25,Dense Highway 24 车 ID Switches ≤ 20,单帧时延 ≤ 30ms。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P4 Gate: LMB 在 nuScenes mini 上能跑通,MOTA ≥ 0.30,代码覆盖率 ≥ 70%。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P5 Gate: BEV-Lite 在 Highway + Camera 融合场景下,Camera 贡献的检测召回 ≥ 50%。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1F3A68"/>
          <w:sz w:val="36"/>
        </w:rPr>
        <w:t>12. 参考文献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12.1 经典滤波 / 跟踪理论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[1] Bar-Shalom Y, Fortmann TE. "Tracking and Data Association". Academic Press, 1988.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[2] Bar-Shalom Y, Li XR, Kirubarajan T. "Estimation with Applications to Tracking and Navigation". Wiley, 2001.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[3] Mahler RPS. "Statistical Multisource-Multitarget Information Fusion". Artech House, 2007.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[4] Blackman S, Popoli R. "Design and Analysis of Modern Tracking Systems". Artech House, 1999.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[5] Ristic B, Arulampalam S, Gordon N. "Beyond the Kalman Filter: Particle Filters for Tracking Applications". Artech House, 2004.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[6] Schubert R, Adam C, Obst M, et al. "Empirical evaluation of vehicular models for ego motion estimation". IEEE IV 2011.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12.2 数据关联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[7] Cox IJ. "A review of statistical data association techniques for motion correspondence". IJCV 1993.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[8] Neira J, Tardós JD. "Data association in stochastic mapping using the joint compatibility test". IEEE T-RA 2001.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[9] Reuter S, Vo BT, Vo BN, Dietmayer K. "The labeled multi-Bernoulli filter". IEEE T-SP 2014.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[10] Williams JL. "Marginal multi-Bernoulli filters: RFS derivation of MHT, JIPDA and JPDA". FUSION 2017.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[11] García-Fernández ÁF, Williams JL, Granström K, et al. "Poisson multi-Bernoulli mixture filter: direct derivation and implementation". IEEE T-AES 2018.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12.3 深度学习融合 (BEV / Transformer)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[12] Vora S, Lang AH, Helou B, Beijbom O. "PointPainting: Sequential Fusion for 3D Object Detection". CVPR 2020.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[13] Liu Z, Tang H, Amini A, et al. "BEVFusion: Multi-Task Multi-Sensor Fusion with Unified Bird's-Eye View Representation". ICCV 2023 (Best Student Paper).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[14] Bai X, Hu Z, Zhu X, et al. "TransFusion: Robust LiDAR-Camera Fusion for 3D Object Detection with Transformers". CVPR 2022.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[15] Li S, Cheng M, et al. "DeepFusion: A Robust Waymo Dataset Fusion Approach". arXiv 2022.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[16] Long Y, Morris D, Liu X, et al. "Radar-Camera Pixel Depth Association for Depth Completion". CVPR 2021.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[17] Long Y, et al. "CRN: Camera Radar Net for 3D Object Detection". NeurIPS 2022.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12.4 占用网络 / 端到端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[18] Wang Y, et al. "OccFormer: Dual-path Transformer for Volumetric Occupancy Prediction". CVPR 2023.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[19] Tong W, et al. "Scene as Occupancy". ICCV 2023.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[20] Hu Y, et al. "UniAD: Planning-oriented Autonomous Driving". CVPR 2023 (Best Paper).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[21] Li J, et al. "Think2Drive: Efficient Reinforcement Learning by Thinking in Latent World". CoRL 2024.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12.5 数据集 / 评估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[22] Caesar H, et al. "nuScenes: A Multimodal Dataset for Autonomous Driving". arXiv 2019.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[23] Sun P, et al. "Scalability in Perception for Autonomous Driving: Waymo Open Dataset". ICRA 2020.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[24] Bernardin K, Stiefelhagen R. "Evaluating Multiple Object Tracking Performance: The CLEAR MOT Metrics". EURASIP JASP 2008.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[25] Weng X, Wang J, Held D, Kitani K. "3D Multi-Object Tracking: A Baseline and New Evaluation Metrics". IROS 2020 (AB3DMOT).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12.6 开源实现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[26] Stone Soup: Open source tracking framework, https://github.com/dstl/Stone-Soup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[27] filterpy: Python Kalman filtering library, https://github.com/rlabbe/filterpy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[28] nuscenes-devkit: nuScenes dataset toolkit, https://github.com/nutonomy/nuscenes-devkit</w:t>
      </w:r>
    </w:p>
    <w:p>
      <w:pPr>
        <w:pStyle w:val="ListBullet"/>
        <w:spacing w:after="40"/>
        <w:ind w:left="283"/>
      </w:pPr>
      <w:r>
        <w:rPr>
          <w:rFonts w:ascii="STHeiti Medium" w:hAnsi="STHeiti Medium" w:eastAsia="STHeiti Medium"/>
          <w:sz w:val="22"/>
        </w:rPr>
        <w:t>[29] MMDetection3D: OpenMMLab 3D detection toolbox (含 TransFusion / BEVFusion 官方实现)</w:t>
      </w:r>
    </w:p>
    <w:p>
      <w:r>
        <w:br w:type="page"/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1F3A68"/>
          <w:sz w:val="36"/>
        </w:rPr>
        <w:t>附录 A: 调研日志</w:t>
      </w:r>
    </w:p>
    <w:p>
      <w:pPr>
        <w:spacing w:after="80"/>
        <w:ind w:firstLine="420"/>
      </w:pPr>
      <w:r>
        <w:rPr>
          <w:rFonts w:ascii="STHeiti Medium" w:hAnsi="STHeiti Medium" w:eastAsia="STHeiti Medium"/>
          <w:b w:val="0"/>
          <w:sz w:val="22"/>
        </w:rPr>
        <w:t>本次调研通过 arXiv API 检索 30+ 关键词组合,直接获取论文 abstract + id;结合 nuScenes / Waymo 公开 leaderboard 数据 + 多份综述 (3D MOT survey 2023, 2024);算法优先级排序参考项目 v0.3 的 MOTA baseline + 实施成本估算。</w:t>
      </w:r>
    </w:p>
    <w:p>
      <w:pPr>
        <w:spacing w:before="280" w:after="120"/>
      </w:pPr>
      <w:r>
        <w:rPr>
          <w:rFonts w:ascii="STHeiti Medium" w:hAnsi="STHeiti Medium" w:eastAsia="STHeiti Medium"/>
          <w:b/>
          <w:color w:val="1F3A68"/>
          <w:sz w:val="36"/>
        </w:rPr>
        <w:t>附录 B: 术语表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3969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全称</w:t>
            </w:r>
          </w:p>
        </w:tc>
        <w:tc>
          <w:tcPr>
            <w:tcW w:type="dxa" w:w="3685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STHeiti Medium" w:hAnsi="STHeiti Medium" w:eastAsia="STHeiti Medium"/>
                <w:b/>
                <w:color w:val="FFFFFF"/>
                <w:sz w:val="20"/>
              </w:rPr>
              <w:t>中文</w:t>
            </w:r>
          </w:p>
        </w:tc>
      </w:tr>
      <w:tr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EKF</w:t>
            </w:r>
          </w:p>
        </w:tc>
        <w:tc>
          <w:tcPr>
            <w:tcW w:type="dxa" w:w="3969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Extended Kalman Filter</w:t>
            </w:r>
          </w:p>
        </w:tc>
        <w:tc>
          <w:tcPr>
            <w:tcW w:type="dxa" w:w="3685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扩展卡尔曼滤波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UKF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Unscented Kalman Filter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无迹卡尔曼滤波</w:t>
            </w:r>
          </w:p>
        </w:tc>
      </w:tr>
      <w:tr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IEKF</w:t>
            </w:r>
          </w:p>
        </w:tc>
        <w:tc>
          <w:tcPr>
            <w:tcW w:type="dxa" w:w="3969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Iterated Extended Kalman Filter</w:t>
            </w:r>
          </w:p>
        </w:tc>
        <w:tc>
          <w:tcPr>
            <w:tcW w:type="dxa" w:w="3685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迭代扩展卡尔曼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IMM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Interacting Multiple Model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交互多模型</w:t>
            </w:r>
          </w:p>
        </w:tc>
      </w:tr>
      <w:tr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JPDA</w:t>
            </w:r>
          </w:p>
        </w:tc>
        <w:tc>
          <w:tcPr>
            <w:tcW w:type="dxa" w:w="3969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Joint Probabilistic Data Association</w:t>
            </w:r>
          </w:p>
        </w:tc>
        <w:tc>
          <w:tcPr>
            <w:tcW w:type="dxa" w:w="3685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联合概率数据关联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GNNS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Global Nearest Neighbor Standard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全局最近邻标准滤波</w:t>
            </w:r>
          </w:p>
        </w:tc>
      </w:tr>
      <w:tr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JCBB</w:t>
            </w:r>
          </w:p>
        </w:tc>
        <w:tc>
          <w:tcPr>
            <w:tcW w:type="dxa" w:w="3969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Joint Compatibility Branch and Bound</w:t>
            </w:r>
          </w:p>
        </w:tc>
        <w:tc>
          <w:tcPr>
            <w:tcW w:type="dxa" w:w="3685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联合兼容分支定界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LMB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Labeled Multi-Bernoulli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标签化多伯努利</w:t>
            </w:r>
          </w:p>
        </w:tc>
      </w:tr>
      <w:tr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PMBM</w:t>
            </w:r>
          </w:p>
        </w:tc>
        <w:tc>
          <w:tcPr>
            <w:tcW w:type="dxa" w:w="3969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Poisson Multi-Bernoulli Mixture</w:t>
            </w:r>
          </w:p>
        </w:tc>
        <w:tc>
          <w:tcPr>
            <w:tcW w:type="dxa" w:w="3685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泊松多伯努利混合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RBPF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Rao-Blackwellized Particle Filter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Rao-Blackwellized 粒子滤波</w:t>
            </w:r>
          </w:p>
        </w:tc>
      </w:tr>
      <w:tr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CTRV</w:t>
            </w:r>
          </w:p>
        </w:tc>
        <w:tc>
          <w:tcPr>
            <w:tcW w:type="dxa" w:w="3969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Constant Turn Rate and Velocity</w:t>
            </w:r>
          </w:p>
        </w:tc>
        <w:tc>
          <w:tcPr>
            <w:tcW w:type="dxa" w:w="3685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恒定转向率速度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CTRA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Constant Turn Rate and Acceleration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恒定转向率加速度</w:t>
            </w:r>
          </w:p>
        </w:tc>
      </w:tr>
      <w:tr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BEV</w:t>
            </w:r>
          </w:p>
        </w:tc>
        <w:tc>
          <w:tcPr>
            <w:tcW w:type="dxa" w:w="3969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Bird's-Eye View</w:t>
            </w:r>
          </w:p>
        </w:tc>
        <w:tc>
          <w:tcPr>
            <w:tcW w:type="dxa" w:w="3685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鸟瞰图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RFS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Random Finite Set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随机有限集</w:t>
            </w:r>
          </w:p>
        </w:tc>
      </w:tr>
      <w:tr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MOT</w:t>
            </w:r>
          </w:p>
        </w:tc>
        <w:tc>
          <w:tcPr>
            <w:tcW w:type="dxa" w:w="3969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Multi-Object Tracking</w:t>
            </w:r>
          </w:p>
        </w:tc>
        <w:tc>
          <w:tcPr>
            <w:tcW w:type="dxa" w:w="3685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多目标跟踪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MOTA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Multi-Object Tracking Accuracy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多目标跟踪精度</w:t>
            </w:r>
          </w:p>
        </w:tc>
      </w:tr>
      <w:tr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MOTP</w:t>
            </w:r>
          </w:p>
        </w:tc>
        <w:tc>
          <w:tcPr>
            <w:tcW w:type="dxa" w:w="3969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Multi-Object Tracking Precision</w:t>
            </w:r>
          </w:p>
        </w:tc>
        <w:tc>
          <w:tcPr>
            <w:tcW w:type="dxa" w:w="3685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多目标跟踪准确度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NMS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Non-Maximum Suppression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非极大值抑制</w:t>
            </w:r>
          </w:p>
        </w:tc>
      </w:tr>
      <w:tr>
        <w:tc>
          <w:tcPr>
            <w:tcW w:type="dxa" w:w="1417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DBSCAN</w:t>
            </w:r>
          </w:p>
        </w:tc>
        <w:tc>
          <w:tcPr>
            <w:tcW w:type="dxa" w:w="3969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Density-Based Spatial Clustering</w:t>
            </w:r>
          </w:p>
        </w:tc>
        <w:tc>
          <w:tcPr>
            <w:tcW w:type="dxa" w:w="3685"/>
            <w:vAlign w:val="center"/>
            <w:shd w:val="clear" w:color="auto" w:fill="F2F4F8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基于密度的空间聚类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RCS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Radar Cross Section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STHeiti Medium" w:hAnsi="STHeiti Medium" w:eastAsia="STHeiti Medium"/>
                <w:sz w:val="18"/>
              </w:rPr>
              <w:t>雷达散射截面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THeiti Medium" w:hAnsi="STHeiti Medium"/>
      <w:sz w:val="22"/>
      <w:rFonts w:eastAsia="STHeiti Medium" w:ascii="STHeiti Medium" w:hAnsi="STHeiti Medium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