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/>
      </w:pPr>
      <w:r>
        <w:rPr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444840</wp:posOffset>
            </wp:positionV>
            <wp:extent cx="5727700" cy="9391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0-05 at 10.29.0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9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INF01142 - Sistemas Operacionais N</w:t>
      </w:r>
    </w:p>
    <w:p>
      <w:pPr>
        <w:pStyle w:val="Heading"/>
        <w:rPr/>
      </w:pPr>
      <w:r>
        <w:rPr>
          <w:rtl w:val="0"/>
          <w:lang w:val="en-US"/>
        </w:rPr>
        <w:t>Txai Wieser - 00217052</w:t>
      </w:r>
    </w:p>
    <w:p>
      <w:pPr>
        <w:pStyle w:val="Heading"/>
        <w:rPr/>
      </w:pPr>
      <w:r>
        <w:rPr>
          <w:rtl w:val="0"/>
          <w:lang w:val="en-US"/>
        </w:rPr>
        <w:t>Roberta Robert - 00194285</w:t>
      </w:r>
    </w:p>
    <w:p>
      <w:pPr>
        <w:pStyle w:val="Heading"/>
        <w:rPr/>
      </w:pPr>
    </w:p>
    <w:p>
      <w:pPr>
        <w:pStyle w:val="Heading"/>
        <w:rPr/>
      </w:pPr>
    </w:p>
    <w:p>
      <w:pPr>
        <w:pStyle w:val="Subtitle"/>
        <w:rPr>
          <w:color w:val="000000"/>
        </w:rPr>
      </w:pPr>
      <w:r>
        <w:rPr>
          <w:color w:val="000000"/>
          <w:rtl w:val="0"/>
          <w:lang w:val="en-US"/>
        </w:rPr>
        <w:t>Trabalho Pr</w:t>
      </w:r>
      <w:r>
        <w:rPr>
          <w:color w:val="000000"/>
          <w:rtl w:val="0"/>
          <w:lang w:val="en-US"/>
        </w:rPr>
        <w:t>á</w:t>
      </w:r>
      <w:r>
        <w:rPr>
          <w:color w:val="000000"/>
          <w:rtl w:val="0"/>
          <w:lang w:val="en-US"/>
        </w:rPr>
        <w:t>tico I</w:t>
      </w:r>
    </w:p>
    <w:p>
      <w:pPr>
        <w:pStyle w:val="Subheading"/>
        <w:rPr>
          <w:color w:val="000000"/>
        </w:rPr>
      </w:pPr>
      <w:r>
        <w:rPr>
          <w:color w:val="000000"/>
          <w:rtl w:val="0"/>
          <w:lang w:val="en-US"/>
        </w:rPr>
        <w:t>I</w:t>
      </w:r>
      <w:r>
        <w:rPr>
          <w:color w:val="000000"/>
          <w:rtl w:val="0"/>
          <w:lang w:val="fr-FR"/>
        </w:rPr>
        <w:t>mplementa</w:t>
      </w:r>
      <w:r>
        <w:rPr>
          <w:color w:val="000000"/>
          <w:rtl w:val="0"/>
          <w:lang w:val="pt-PT"/>
        </w:rPr>
        <w:t>çã</w:t>
      </w:r>
      <w:r>
        <w:rPr>
          <w:color w:val="000000"/>
          <w:rtl w:val="0"/>
          <w:lang w:val="pt-PT"/>
        </w:rPr>
        <w:t xml:space="preserve">o da </w:t>
      </w:r>
      <w:r>
        <w:rPr>
          <w:color w:val="000000"/>
          <w:rtl w:val="0"/>
          <w:lang w:val="en-US"/>
        </w:rPr>
        <w:t>b</w:t>
      </w:r>
      <w:r>
        <w:rPr>
          <w:color w:val="000000"/>
          <w:rtl w:val="0"/>
          <w:lang w:val="it-IT"/>
        </w:rPr>
        <w:t xml:space="preserve">iblioteca </w:t>
      </w:r>
      <w:r>
        <w:rPr>
          <w:i w:val="1"/>
          <w:iCs w:val="1"/>
          <w:color w:val="000000"/>
          <w:rtl w:val="0"/>
          <w:lang w:val="en-US"/>
        </w:rPr>
        <w:t>pithreads</w:t>
      </w:r>
    </w:p>
    <w:p>
      <w:pPr>
        <w:pStyle w:val="Body"/>
        <w:rPr/>
      </w:pPr>
    </w:p>
    <w:p>
      <w:pPr>
        <w:pStyle w:val="Body"/>
        <w:jc w:val="both"/>
        <w:rPr>
          <w:rFonts w:ascii="Baskerville SemiBold" w:cs="Baskerville SemiBold" w:hAnsi="Baskerville SemiBold" w:eastAsia="Baskerville SemiBold"/>
        </w:rPr>
      </w:pPr>
      <w:r>
        <w:rPr>
          <w:rFonts w:ascii="Baskerville SemiBold" w:hAnsi="Baskerville SemiBold" w:hint="default"/>
          <w:rtl w:val="0"/>
          <w:lang w:val="en-US"/>
        </w:rPr>
        <w:t xml:space="preserve">• </w:t>
      </w:r>
      <w:r>
        <w:rPr>
          <w:rFonts w:ascii="Baskerville SemiBold" w:hAnsi="Baskerville SemiBold"/>
          <w:rtl w:val="0"/>
          <w:lang w:val="pt-PT"/>
        </w:rPr>
        <w:t>Resumo executivo das fun</w:t>
      </w:r>
      <w:r>
        <w:rPr>
          <w:rFonts w:ascii="Baskerville SemiBold" w:hAnsi="Baskerville SemiBold" w:hint="default"/>
          <w:rtl w:val="0"/>
          <w:lang w:val="pt-PT"/>
        </w:rPr>
        <w:t>çõ</w:t>
      </w:r>
      <w:r>
        <w:rPr>
          <w:rFonts w:ascii="Baskerville SemiBold" w:hAnsi="Baskerville SemiBold"/>
          <w:rtl w:val="0"/>
        </w:rPr>
        <w:t>es</w:t>
      </w:r>
    </w:p>
    <w:tbl>
      <w:tblPr>
        <w:tblW w:w="7915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1901"/>
        <w:gridCol w:w="3007"/>
        <w:gridCol w:w="3007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Fun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çã</w:t>
            </w:r>
            <w:r>
              <w:rPr>
                <w:rFonts w:ascii="Baskerville" w:cs="Arial Unicode MS" w:hAnsi="Baskerville" w:eastAsia="Arial Unicode MS"/>
                <w:rtl w:val="0"/>
              </w:rPr>
              <w:t>o</w:t>
            </w:r>
          </w:p>
        </w:tc>
        <w:tc>
          <w:tcPr>
            <w:tcW w:type="dxa" w:w="3006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Status (OK, N</w:t>
            </w:r>
            <w:r>
              <w:rPr>
                <w:rFonts w:ascii="Baskerville" w:hAnsi="Baskerville" w:hint="default"/>
                <w:rtl w:val="0"/>
              </w:rPr>
              <w:t>Ã</w:t>
            </w:r>
            <w:r>
              <w:rPr>
                <w:rFonts w:ascii="Baskerville" w:hAnsi="Baskerville"/>
                <w:rtl w:val="0"/>
              </w:rPr>
              <w:t>O)</w:t>
            </w:r>
          </w:p>
        </w:tc>
        <w:tc>
          <w:tcPr>
            <w:tcW w:type="dxa" w:w="3006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Se N</w:t>
            </w:r>
            <w:r>
              <w:rPr>
                <w:rFonts w:ascii="Baskerville" w:hAnsi="Baskerville" w:hint="default"/>
                <w:rtl w:val="0"/>
              </w:rPr>
              <w:t>Ã</w:t>
            </w:r>
            <w:r>
              <w:rPr>
                <w:rFonts w:ascii="Baskerville" w:hAnsi="Baskerville"/>
                <w:rtl w:val="0"/>
              </w:rPr>
              <w:t>O, poss</w:t>
            </w:r>
            <w:r>
              <w:rPr>
                <w:rFonts w:ascii="Baskerville" w:hAnsi="Baskerville" w:hint="default"/>
                <w:rtl w:val="0"/>
              </w:rPr>
              <w:t>í</w:t>
            </w:r>
            <w:r>
              <w:rPr>
                <w:rFonts w:ascii="Baskerville" w:hAnsi="Baskerville"/>
                <w:rtl w:val="0"/>
              </w:rPr>
              <w:t>vel explica</w:t>
            </w:r>
            <w:r>
              <w:rPr>
                <w:rFonts w:ascii="Baskerville" w:hAnsi="Baskerville" w:hint="default"/>
                <w:rtl w:val="0"/>
              </w:rPr>
              <w:t>çã</w:t>
            </w:r>
            <w:r>
              <w:rPr>
                <w:rFonts w:ascii="Baskerville" w:hAnsi="Baskerville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picreate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piwait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piyield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pimutex_init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pilock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01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piunlock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3006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Baskerville" w:hAnsi="Baskerville"/>
                <w:rtl w:val="0"/>
              </w:rPr>
              <w:t>-</w:t>
            </w:r>
          </w:p>
        </w:tc>
      </w:tr>
    </w:tbl>
    <w:p>
      <w:pPr>
        <w:pStyle w:val="Body"/>
        <w:jc w:val="both"/>
        <w:rPr>
          <w:rFonts w:ascii="Baskerville SemiBold" w:cs="Baskerville SemiBold" w:hAnsi="Baskerville SemiBold" w:eastAsia="Baskerville SemiBold"/>
        </w:rPr>
      </w:pPr>
    </w:p>
    <w:p>
      <w:pPr>
        <w:pStyle w:val="Body"/>
        <w:jc w:val="both"/>
        <w:rPr>
          <w:rFonts w:ascii="Baskerville SemiBold" w:cs="Baskerville SemiBold" w:hAnsi="Baskerville SemiBold" w:eastAsia="Baskerville SemiBold"/>
        </w:rPr>
      </w:pPr>
    </w:p>
    <w:p>
      <w:pPr>
        <w:pStyle w:val="Body"/>
        <w:numPr>
          <w:ilvl w:val="0"/>
          <w:numId w:val="2"/>
        </w:numPr>
        <w:jc w:val="both"/>
        <w:rPr>
          <w:rFonts w:ascii="Baskerville SemiBold" w:cs="Baskerville SemiBold" w:hAnsi="Baskerville SemiBold" w:eastAsia="Baskerville SemiBold"/>
          <w:lang w:val="en-US"/>
        </w:rPr>
      </w:pPr>
      <w:r>
        <w:rPr>
          <w:rFonts w:ascii="Baskerville SemiBold" w:hAnsi="Baskerville SemiBold"/>
          <w:rtl w:val="0"/>
          <w:lang w:val="en-US"/>
        </w:rPr>
        <w:t>Testes e resultados esperados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Para a realiza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dos testes da biblioteca desenvolvida utilizamos os exemplos que foram passados junto com a especifica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(exemplo, teste_vetor, teste_prio e mandel). Todos os exemplos disponibilizados foram executados com sucesso.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Com o intuito de cobrir mais casos de testes (como testes do mutex) utilizamos mais 2 programas, que se encontram no diret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rio /testes. S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esses o teste1 e o teste2. Os dois programas testes foram executados com sucesso.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O teste1 trata-se de um exemplo dado em aula da cria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duas threads que fazem a impress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de valores impares e pares alternadamente. Utiliza as fun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picreate(), piwait() e piyield().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O teste2 cria 3 threads, cada uma com uma respectiva fun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o, em cada fun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existe uma se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cr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  <w:lang w:val="pt-PT"/>
        </w:rPr>
        <w:t>tica, e dentro dessa se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it-IT"/>
        </w:rPr>
        <w:t xml:space="preserve">o critica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executado a altera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uma vari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  <w:lang w:val="pt-PT"/>
        </w:rPr>
        <w:t>vel e tamb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 xml:space="preserve">m um piyield() para ceder a CPU. Nesse teste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it-IT"/>
        </w:rPr>
        <w:t>poss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  <w:lang w:val="pt-PT"/>
        </w:rPr>
        <w:t>vel verifica o funcionamento dos mutex, pimutex_init(), pilock(), piunlock(), picreate(), piwait() e piyield().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Mais detalhes sobre os programas de testes est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descritos nos pr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prios arquivos de c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digo fonte.</w:t>
      </w:r>
    </w:p>
    <w:p>
      <w:pPr>
        <w:pStyle w:val="Body"/>
        <w:jc w:val="both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jc w:val="both"/>
        <w:rPr>
          <w:rFonts w:ascii="Baskerville SemiBold" w:cs="Baskerville SemiBold" w:hAnsi="Baskerville SemiBold" w:eastAsia="Baskerville SemiBold"/>
          <w:lang w:val="en-US"/>
        </w:rPr>
      </w:pPr>
      <w:r>
        <w:rPr>
          <w:rFonts w:ascii="Baskerville SemiBold" w:hAnsi="Baskerville SemiBold"/>
          <w:rtl w:val="0"/>
          <w:lang w:val="en-US"/>
        </w:rPr>
        <w:t>Principais dificuldades encontradas</w:t>
      </w:r>
    </w:p>
    <w:p>
      <w:pPr>
        <w:pStyle w:val="Body"/>
        <w:jc w:val="both"/>
        <w:rPr>
          <w:rFonts w:ascii="Baskerville SemiBold" w:cs="Baskerville SemiBold" w:hAnsi="Baskerville SemiBold" w:eastAsia="Baskerville SemiBold"/>
        </w:rPr>
      </w:pP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Dentre os problemas enfrentados que valem ser apresentados aqui, est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a complexidade do entendimento da especifica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o, a utiliza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contextos, e a cria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das fun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de armazenamento das estruturas de dados.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A curva de aprendizado para a realiza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 xml:space="preserve">o desse trabalho foi bem alta, e o conhecimento adquirido no </w:t>
      </w:r>
      <w:r>
        <w:rPr>
          <w:sz w:val="20"/>
          <w:szCs w:val="20"/>
          <w:rtl w:val="0"/>
          <w:lang w:val="en-US"/>
        </w:rPr>
        <w:t xml:space="preserve">final do </w:t>
      </w:r>
      <w:r>
        <w:rPr>
          <w:sz w:val="20"/>
          <w:szCs w:val="20"/>
          <w:rtl w:val="0"/>
          <w:lang w:val="pt-PT"/>
        </w:rPr>
        <w:t xml:space="preserve">desenvolvimento do mesmo </w:t>
      </w:r>
      <w:r>
        <w:rPr>
          <w:sz w:val="20"/>
          <w:szCs w:val="20"/>
          <w:rtl w:val="0"/>
          <w:lang w:val="en-US"/>
        </w:rPr>
        <w:t>foi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muito </w:t>
      </w:r>
      <w:r>
        <w:rPr>
          <w:sz w:val="20"/>
          <w:szCs w:val="20"/>
          <w:rtl w:val="0"/>
          <w:lang w:val="pt-PT"/>
        </w:rPr>
        <w:t>satisfat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rio para n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s.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Outro grande problema foi encontrado nas tentativas de debug do c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digo, sem a utiliza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uma IDE, que facilida a cria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en-US"/>
        </w:rPr>
        <w:t xml:space="preserve">o de breakpoints, </w:t>
      </w:r>
      <w:r>
        <w:rPr>
          <w:sz w:val="20"/>
          <w:szCs w:val="20"/>
          <w:rtl w:val="0"/>
          <w:lang w:val="en-US"/>
        </w:rPr>
        <w:t>visualiza</w:t>
      </w:r>
      <w:r>
        <w:rPr>
          <w:sz w:val="20"/>
          <w:szCs w:val="20"/>
          <w:rtl w:val="0"/>
          <w:lang w:val="en-US"/>
        </w:rPr>
        <w:t>çã</w:t>
      </w:r>
      <w:r>
        <w:rPr>
          <w:sz w:val="20"/>
          <w:szCs w:val="20"/>
          <w:rtl w:val="0"/>
          <w:lang w:val="en-US"/>
        </w:rPr>
        <w:t xml:space="preserve">o do </w:t>
      </w:r>
      <w:r>
        <w:rPr>
          <w:sz w:val="20"/>
          <w:szCs w:val="20"/>
          <w:rtl w:val="0"/>
          <w:lang w:val="pt-PT"/>
        </w:rPr>
        <w:t>stack-trace, entre outros, tivemos que utilizar ferramentas como GDB para auxiliar no debug. Aprender essas ferramentas fo</w:t>
      </w:r>
      <w:r>
        <w:rPr>
          <w:sz w:val="20"/>
          <w:szCs w:val="20"/>
          <w:rtl w:val="0"/>
          <w:lang w:val="en-US"/>
        </w:rPr>
        <w:t>ram</w:t>
      </w:r>
      <w:r>
        <w:rPr>
          <w:sz w:val="20"/>
          <w:szCs w:val="20"/>
          <w:rtl w:val="0"/>
          <w:lang w:val="pt-PT"/>
        </w:rPr>
        <w:t xml:space="preserve"> mais tarefa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que precisavam ser conclu</w:t>
      </w:r>
      <w:r>
        <w:rPr>
          <w:sz w:val="20"/>
          <w:szCs w:val="20"/>
          <w:rtl w:val="0"/>
          <w:lang w:val="en-US"/>
        </w:rPr>
        <w:t>í</w:t>
      </w:r>
      <w:r>
        <w:rPr>
          <w:sz w:val="20"/>
          <w:szCs w:val="20"/>
          <w:rtl w:val="0"/>
          <w:lang w:val="en-US"/>
        </w:rPr>
        <w:t xml:space="preserve">das </w:t>
      </w:r>
      <w:r>
        <w:rPr>
          <w:sz w:val="20"/>
          <w:szCs w:val="20"/>
          <w:rtl w:val="0"/>
          <w:lang w:val="pt-PT"/>
        </w:rPr>
        <w:t>para realiza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do trabalho.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00"/>
        </w:tabs>
        <w:ind w:left="36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80"/>
        </w:tabs>
        <w:ind w:left="54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</w:tabs>
        <w:ind w:left="72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440"/>
        </w:tabs>
        <w:ind w:left="90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20"/>
        </w:tabs>
        <w:ind w:left="108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00"/>
        </w:tabs>
        <w:ind w:left="126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</w:tabs>
        <w:ind w:left="144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</w:tabs>
        <w:ind w:left="1620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ese" w:val="‘“(〔[{〈《「『【⦅〘〖«〝︵︷︹︻︽︿﹁﹃﹇﹙﹛﹝｢"/>
  <w:noLineBreaksBefore w:lang="Portugues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2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