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Heiti SC" w:cs="Times New Roman"/>
          <w:b/>
          <w:sz w:val="32"/>
        </w:rPr>
        <w:t>AutoForm 工艺设置Agent开发规划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角色 ID：process_setting_agent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规划状态：R9 已有候选计划，R20 扩展为受控 AutoForm 设置链路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生成时间：2026-06-04 18:03:40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1 文档定位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围绕工序、坯料、压边力、拉延筋、润滑、模面、求解 profile 和运行副本生成可审查的工艺设置候选。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本文档用于后续代码开发、测试设计、前端图谱展示和复盘记录。所有正式工程字段仍通过中心 Agent、ContextPatch、Validator 和人工确认策略合并。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2 资料依据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资料文件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当前时间戳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采用结论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01_项目总览与系统架构.docx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02_项目中心Agent详细架构计划与任务目标.docx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02_上下文信息结构体详细架构计划与任务目标.docx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04_柔性脚本L0至L4详细架构计划与任务目标.docx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05_AutoForm多Agent软件界面开发说明.docx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AutoForm多Agent系统整体任务规划矛盾检查与Vibecoding开发计划.docx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2026-06-02 23:04:44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03_工艺规划Agent详细架构计划与任务目标.docx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2026-06-01 18:14:07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用于确定 Agent 边界、输入输出、风险控制和验收方式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3 输入输出契约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DemandTriageCard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PartCard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MaterialCard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EvidenceBundle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ProjectRef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由中心 Agent 的 ContextView 或受控工具结果提供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ProcessPlanCard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OperationRoute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ParameterCandidate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SimulationPlanDraft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ProcessContextPatch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以候选卡片、审计事件、证据包或阶段摘要形式返回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4 核心逻辑思路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1. 读取需求任务书、PartCard、MaterialCard 和证据包，形成 ProcessPlanCard。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2. 拆分工序路线、坯料策略、压边力窗口、拉延筋建议、润滑条件、模面引用和求解前检查项。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3. 对于现有 AutoForm 工程，优先解析官方示例或用户 AFD 路径，复制运行副本后再允许窗口观察或求解。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4. 所有关键设置输出为 ParameterCandidate 或 ProcessContextPatch，保持候选状态。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5. 当用户只要求复制和打开窗口时，设置 `copy_project=true` 与 `open_gui=true`，保持 `execute=false`。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5 开发模块与接口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条目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开发要求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autoform_agent/preparation_agents.py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autoform_agent/project_workflow.py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源码模块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autoform_agent/process.py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保持小接口、可测试、可审计；涉及外部程序时必须保留 dry_run 或审批参数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build_process_plan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autoform_resolve_project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工具接口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autoform_project_run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通过 AgentToolGateway 或本地白名单调用，返回结构化结果和错误边界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6 前端图谱与状态事件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前端固定显示节点名称为“工艺设置Agent”。节点处于 running 时显示绿色工作态；收到 completed、done、ready 或 stage_summary 后回到待命灰白态。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事件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图谱表现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记录要求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agent_planned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只表达已进入路线，不表示正在工作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agent_started 或 tool_requested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绿色工作态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 task_id、role_id、tool 和输入摘要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agent_completed 或 tool_completed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待命灰白态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记录输出摘要、证据引用和下一步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tool_blocked 或 approval_required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阻断或待批准态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Songti SC" w:cs="Times New Roman"/>
              </w:rPr>
              <w:t>记录审批参数、风险等级和人工决策入口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7 风险边界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所有材料、工艺、求解、后处理、诊断和报告结论先保持候选状态。复制工程、打开 GUI、执行求解、截图取证和发布报告均属于受控动作，必须带审批、日志和回滚依据。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当资料来源不足时，Agent 只记录已确认事实，并输出需要补充的验证任务。</w:t>
      </w:r>
    </w:p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8 测试验收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测试文件或验收项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Heiti SC" w:cs="Times New Roman"/>
                <w:b/>
              </w:rPr>
              <w:t>通过标准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tests/test_preparation_agents.py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tests/test_project_workflow.py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tests/test_agent_runtime.py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覆盖成功、阻断、缺字段、权限拒绝和结构化输出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前端图谱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只显示 9 个业务 Agent，运行时变绿，结束后回到待命灰白态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复盘记录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Songti SC" w:cs="Times New Roman"/>
              </w:rPr>
              <w:t>交付说明记录已读资料、采用结论、验证命令和剩余风险</w:t>
            </w:r>
          </w:p>
        </w:tc>
      </w:tr>
    </w:tbl>
    <w:p>
      <w:pPr>
        <w:pStyle w:val="Heading1"/>
      </w:pPr>
      <w:r>
        <w:rPr>
          <w:rFonts w:ascii="Times New Roman" w:hAnsi="Times New Roman" w:eastAsia="Heiti SC" w:cs="Times New Roman"/>
          <w:b/>
          <w:sz w:val="28"/>
        </w:rPr>
        <w:t>9 后续开发顺序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第一步固定契约和 fixture，第二步实现只读或候选产物，第三步接入 AgentToolGateway，第四步补齐失败和审批路径，第五步进入前端事件回放与复盘。</w:t>
      </w:r>
    </w:p>
    <w:p>
      <w:pPr>
        <w:spacing w:line="288" w:lineRule="auto"/>
      </w:pPr>
      <w:r>
        <w:rPr>
          <w:rFonts w:ascii="Times New Roman" w:hAnsi="Times New Roman" w:eastAsia="Songti SC" w:cs="Times New Roman"/>
          <w:b w:val="0"/>
        </w:rPr>
        <w:t>该 Agent 的价值在于把一次性口头判断沉淀为可复用的结构化对象、证据链、审批边界和测试样例。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Heiti SC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