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后处理Agent开发规划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ID：postprocessing_agent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规划状态：R12 原为预留，当前接入结果审阅工具和 GUI 证据边界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18:03:40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负责打开或定位结果工程，抽取减薄、FLD、起皱、回弹、动画和截图证据，形成 ResultCard 与 EvidenceCard。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SolverRunRecord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RunManifest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ResultDirectory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WindowSnapshot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ReviewIntent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ResultCard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ResultReviewPlan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EvidenceCard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ScreenshotBundle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PostprocessBoundaryNote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读取 SolverRunRecord、run_manifest、结果目录和当前 AutoForm 窗口状态，确认结果工程可用性。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调用 readiness 工具检查可见窗口、工程匹配、控件证据和交互边界。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根据任务目标选择变量、工序、视角和截图策略，生成 ResultReviewPlan。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在审批范围内执行视角切换、变量显示、动画观察或截图取证，保留 before、after 和 compare 记录。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把结构化结果、证据路径和未取证边界交给诊断优化 Agent 与报告整理 Agent。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autoform_agent/result_viewer.py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autoform_agent/gui_automation.py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autoform_agent/mcp_tools/gui.py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autoform_result_readiness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autoform_result_view_evidence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autoform_result_capture_evidence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前端固定显示节点名称为“后处理Agent”。节点处于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tests/test_result_viewer.py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tests/test_agent_system_runtime.py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