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7B3D3E"/>
          <w:sz w:val="18"/>
        </w:rPr>
        <w:t>JACES × VOUS</w:t>
      </w:r>
    </w:p>
    <w:p>
      <w:pPr>
        <w:spacing w:after="80"/>
      </w:pPr>
      <w:r>
        <w:rPr>
          <w:b/>
          <w:color w:val="2D1216"/>
          <w:sz w:val="56"/>
        </w:rPr>
        <w:t>Votre partenariat JACES</w:t>
      </w:r>
    </w:p>
    <w:p>
      <w:pPr>
        <w:spacing w:after="160" w:line="312" w:lineRule="auto"/>
      </w:pPr>
      <w:r>
        <w:rPr>
          <w:i/>
          <w:color w:val="6A6156"/>
          <w:sz w:val="24"/>
        </w:rPr>
        <w:t>Grille tarifaire et conditions du partenariat, détaillées ci-dessous.</w:t>
      </w:r>
    </w:p>
    <w:p>
      <w:pPr>
        <w:pBdr>
          <w:bottom w:val="single" w:sz="6" w:space="1" w:color="D8BAAB"/>
        </w:pBdr>
        <w:spacing w:after="280"/>
      </w:pPr>
    </w:p>
    <w:p>
      <w:pPr>
        <w:spacing w:before="400" w:after="160"/>
      </w:pPr>
      <w:r>
        <w:rPr>
          <w:b/>
          <w:color w:val="2D1216"/>
          <w:sz w:val="30"/>
        </w:rPr>
        <w:t>Grille tarifaire</w:t>
      </w:r>
    </w:p>
    <w:p>
      <w:pPr>
        <w:spacing w:after="160" w:line="312" w:lineRule="auto"/>
      </w:pPr>
      <w:r>
        <w:rPr>
          <w:i w:val="0"/>
          <w:color w:val="3A352E"/>
          <w:sz w:val="22"/>
        </w:rPr>
        <w:t>Chaque partenariat combine des pièces JACES offertes et une commission sur les ventes générées via votre code personnalisé. Le palier applicable dépend du nombre d'abonnés de votre réseau principal, ainsi que de l'alignement de votre audience avec notre cœur de cible (25-44 ans).</w:t>
      </w:r>
    </w:p>
    <w:tbl>
      <w:tblPr>
        <w:tblW w:type="auto" w:w="0"/>
        <w:jc w:val="center"/>
        <w:tblLook w:firstColumn="1" w:firstRow="1" w:lastColumn="0" w:lastRow="0" w:noHBand="0" w:noVBand="1" w:val="04A0"/>
        <w:tblBorders>
          <w:top w:val="single" w:sz="4" w:space="0" w:color="D8BAAB"/>
          <w:left w:val="single" w:sz="4" w:space="0" w:color="D8BAAB"/>
          <w:bottom w:val="single" w:sz="4" w:space="0" w:color="D8BAAB"/>
          <w:right w:val="single" w:sz="4" w:space="0" w:color="D8BAAB"/>
          <w:insideH w:val="single" w:sz="4" w:space="0" w:color="D8BAAB"/>
          <w:insideV w:val="single" w:sz="4" w:space="0" w:color="D8BAAB"/>
        </w:tblBorders>
      </w:tblPr>
      <w:tblGrid>
        <w:gridCol w:w="2436"/>
        <w:gridCol w:w="2436"/>
        <w:gridCol w:w="2436"/>
        <w:gridCol w:w="2436"/>
      </w:tblGrid>
      <w:tr>
        <w:tc>
          <w:tcPr>
            <w:tcW w:type="dxa" w:w="2436"/>
            <w:shd w:val="clear" w:color="auto" w:fill="2D1216"/>
            <w:vAlign w:val="center"/>
          </w:tcPr>
          <w:p>
            <w:pPr>
              <w:jc w:val="left"/>
            </w:pPr>
            <w:r/>
            <w:r>
              <w:rPr>
                <w:b/>
                <w:color w:val="ECD7C2"/>
                <w:sz w:val="21"/>
              </w:rPr>
              <w:t>Audience</w:t>
            </w:r>
          </w:p>
        </w:tc>
        <w:tc>
          <w:tcPr>
            <w:tcW w:type="dxa" w:w="2436"/>
            <w:shd w:val="clear" w:color="auto" w:fill="2D1216"/>
            <w:vAlign w:val="center"/>
          </w:tcPr>
          <w:p>
            <w:pPr>
              <w:jc w:val="left"/>
            </w:pPr>
            <w:r/>
            <w:r>
              <w:rPr>
                <w:b/>
                <w:color w:val="ECD7C2"/>
                <w:sz w:val="21"/>
              </w:rPr>
              <w:t>Pièces offertes</w:t>
            </w:r>
          </w:p>
        </w:tc>
        <w:tc>
          <w:tcPr>
            <w:tcW w:type="dxa" w:w="2436"/>
            <w:shd w:val="clear" w:color="auto" w:fill="2D1216"/>
            <w:vAlign w:val="center"/>
          </w:tcPr>
          <w:p>
            <w:pPr>
              <w:jc w:val="left"/>
            </w:pPr>
            <w:r/>
            <w:r>
              <w:rPr>
                <w:b/>
                <w:color w:val="ECD7C2"/>
                <w:sz w:val="21"/>
              </w:rPr>
              <w:t>Commission sur ventes</w:t>
            </w:r>
          </w:p>
        </w:tc>
        <w:tc>
          <w:tcPr>
            <w:tcW w:type="dxa" w:w="2436"/>
            <w:shd w:val="clear" w:color="auto" w:fill="2D1216"/>
            <w:vAlign w:val="center"/>
          </w:tcPr>
          <w:p>
            <w:pPr>
              <w:jc w:val="left"/>
            </w:pPr>
            <w:r/>
            <w:r>
              <w:rPr>
                <w:b/>
                <w:color w:val="ECD7C2"/>
                <w:sz w:val="21"/>
              </w:rPr>
              <w:t>Contenu indicatif</w:t>
            </w:r>
          </w:p>
        </w:tc>
      </w:tr>
      <w:tr>
        <w:tc>
          <w:tcPr>
            <w:tcW w:type="dxa" w:w="2436"/>
            <w:shd w:val="clear" w:color="auto" w:fill="F6EFE6"/>
            <w:vAlign w:val="center"/>
          </w:tcPr>
          <w:p>
            <w:pPr>
              <w:jc w:val="left"/>
            </w:pPr>
            <w:r/>
            <w:r>
              <w:rPr>
                <w:b/>
                <w:color w:val="2D1216"/>
                <w:sz w:val="21"/>
              </w:rPr>
              <w:t>Moins de 5 000 abonnés</w:t>
            </w:r>
          </w:p>
        </w:tc>
        <w:tc>
          <w:tcPr>
            <w:tcW w:type="dxa" w:w="2436"/>
            <w:shd w:val="clear" w:color="auto" w:fill="F6EFE6"/>
            <w:vAlign w:val="center"/>
          </w:tcPr>
          <w:p>
            <w:pPr>
              <w:jc w:val="left"/>
            </w:pPr>
            <w:r/>
            <w:r>
              <w:rPr>
                <w:b w:val="0"/>
                <w:color w:val="3A352E"/>
                <w:sz w:val="21"/>
              </w:rPr>
              <w:t>50 €</w:t>
            </w:r>
          </w:p>
        </w:tc>
        <w:tc>
          <w:tcPr>
            <w:tcW w:type="dxa" w:w="2436"/>
            <w:shd w:val="clear" w:color="auto" w:fill="F6EFE6"/>
            <w:vAlign w:val="center"/>
          </w:tcPr>
          <w:p>
            <w:pPr>
              <w:jc w:val="left"/>
            </w:pPr>
            <w:r/>
            <w:r>
              <w:rPr>
                <w:b w:val="0"/>
                <w:color w:val="3A352E"/>
                <w:sz w:val="21"/>
              </w:rPr>
              <w:t>10 %</w:t>
            </w:r>
          </w:p>
        </w:tc>
        <w:tc>
          <w:tcPr>
            <w:tcW w:type="dxa" w:w="2436"/>
            <w:shd w:val="clear" w:color="auto" w:fill="F6EFE6"/>
            <w:vAlign w:val="center"/>
          </w:tcPr>
          <w:p>
            <w:pPr>
              <w:jc w:val="left"/>
            </w:pPr>
            <w:r/>
            <w:r>
              <w:rPr>
                <w:b w:val="0"/>
                <w:color w:val="3A352E"/>
                <w:sz w:val="21"/>
              </w:rPr>
              <w:t>1 story + 1 post / mois</w:t>
            </w:r>
          </w:p>
        </w:tc>
      </w:tr>
      <w:tr>
        <w:tc>
          <w:tcPr>
            <w:tcW w:type="dxa" w:w="2436"/>
            <w:shd w:val="clear" w:color="auto" w:fill="FBF6EF"/>
            <w:vAlign w:val="center"/>
          </w:tcPr>
          <w:p>
            <w:pPr>
              <w:jc w:val="left"/>
            </w:pPr>
            <w:r/>
            <w:r>
              <w:rPr>
                <w:b/>
                <w:color w:val="2D1216"/>
                <w:sz w:val="21"/>
              </w:rPr>
              <w:t>5 000 – 20 000 abonnés</w:t>
            </w:r>
          </w:p>
        </w:tc>
        <w:tc>
          <w:tcPr>
            <w:tcW w:type="dxa" w:w="2436"/>
            <w:shd w:val="clear" w:color="auto" w:fill="FBF6EF"/>
            <w:vAlign w:val="center"/>
          </w:tcPr>
          <w:p>
            <w:pPr>
              <w:jc w:val="left"/>
            </w:pPr>
            <w:r/>
            <w:r>
              <w:rPr>
                <w:b w:val="0"/>
                <w:color w:val="3A352E"/>
                <w:sz w:val="21"/>
              </w:rPr>
              <w:t>100 €</w:t>
            </w:r>
          </w:p>
        </w:tc>
        <w:tc>
          <w:tcPr>
            <w:tcW w:type="dxa" w:w="2436"/>
            <w:shd w:val="clear" w:color="auto" w:fill="FBF6EF"/>
            <w:vAlign w:val="center"/>
          </w:tcPr>
          <w:p>
            <w:pPr>
              <w:jc w:val="left"/>
            </w:pPr>
            <w:r/>
            <w:r>
              <w:rPr>
                <w:b w:val="0"/>
                <w:color w:val="3A352E"/>
                <w:sz w:val="21"/>
              </w:rPr>
              <w:t>12 %</w:t>
            </w:r>
          </w:p>
        </w:tc>
        <w:tc>
          <w:tcPr>
            <w:tcW w:type="dxa" w:w="2436"/>
            <w:shd w:val="clear" w:color="auto" w:fill="FBF6EF"/>
            <w:vAlign w:val="center"/>
          </w:tcPr>
          <w:p>
            <w:pPr>
              <w:jc w:val="left"/>
            </w:pPr>
            <w:r/>
            <w:r>
              <w:rPr>
                <w:b w:val="0"/>
                <w:color w:val="3A352E"/>
                <w:sz w:val="21"/>
              </w:rPr>
              <w:t>2 stories + 1 post + 1 reel / mois</w:t>
            </w:r>
          </w:p>
        </w:tc>
      </w:tr>
      <w:tr>
        <w:tc>
          <w:tcPr>
            <w:tcW w:type="dxa" w:w="2436"/>
            <w:shd w:val="clear" w:color="auto" w:fill="F6EFE6"/>
            <w:vAlign w:val="center"/>
          </w:tcPr>
          <w:p>
            <w:pPr>
              <w:jc w:val="left"/>
            </w:pPr>
            <w:r/>
            <w:r>
              <w:rPr>
                <w:b/>
                <w:color w:val="2D1216"/>
                <w:sz w:val="21"/>
              </w:rPr>
              <w:t>Plus de 20 000 abonnés</w:t>
            </w:r>
          </w:p>
        </w:tc>
        <w:tc>
          <w:tcPr>
            <w:tcW w:type="dxa" w:w="2436"/>
            <w:shd w:val="clear" w:color="auto" w:fill="F6EFE6"/>
            <w:vAlign w:val="center"/>
          </w:tcPr>
          <w:p>
            <w:pPr>
              <w:jc w:val="left"/>
            </w:pPr>
            <w:r/>
            <w:r>
              <w:rPr>
                <w:b w:val="0"/>
                <w:color w:val="3A352E"/>
                <w:sz w:val="21"/>
              </w:rPr>
              <w:t>200 €</w:t>
            </w:r>
          </w:p>
        </w:tc>
        <w:tc>
          <w:tcPr>
            <w:tcW w:type="dxa" w:w="2436"/>
            <w:shd w:val="clear" w:color="auto" w:fill="F6EFE6"/>
            <w:vAlign w:val="center"/>
          </w:tcPr>
          <w:p>
            <w:pPr>
              <w:jc w:val="left"/>
            </w:pPr>
            <w:r/>
            <w:r>
              <w:rPr>
                <w:b w:val="0"/>
                <w:color w:val="3A352E"/>
                <w:sz w:val="21"/>
              </w:rPr>
              <w:t>15 %</w:t>
            </w:r>
          </w:p>
        </w:tc>
        <w:tc>
          <w:tcPr>
            <w:tcW w:type="dxa" w:w="2436"/>
            <w:shd w:val="clear" w:color="auto" w:fill="F6EFE6"/>
            <w:vAlign w:val="center"/>
          </w:tcPr>
          <w:p>
            <w:pPr>
              <w:jc w:val="left"/>
            </w:pPr>
            <w:r/>
            <w:r>
              <w:rPr>
                <w:b w:val="0"/>
                <w:color w:val="3A352E"/>
                <w:sz w:val="21"/>
              </w:rPr>
              <w:t>3 stories + 2 posts + 1 reel ou vidéo / mois</w:t>
            </w:r>
          </w:p>
        </w:tc>
      </w:tr>
    </w:tbl>
    <w:p>
      <w:pPr>
        <w:spacing w:after="80"/>
      </w:pPr>
    </w:p>
    <w:p>
      <w:pPr>
        <w:spacing w:after="160" w:line="312" w:lineRule="auto"/>
      </w:pPr>
      <w:r>
        <w:rPr>
          <w:i/>
          <w:color w:val="7B3D3E"/>
          <w:sz w:val="19"/>
        </w:rPr>
        <w:t>Le contenu indicatif n'est pas un minimum contractuel imposé - c'est une base de discussion ajustée ensemble selon votre format et votre audience.</w:t>
      </w:r>
    </w:p>
    <w:p>
      <w:pPr>
        <w:spacing w:before="400" w:after="160"/>
      </w:pPr>
      <w:r>
        <w:rPr>
          <w:b/>
          <w:color w:val="2D1216"/>
          <w:sz w:val="30"/>
        </w:rPr>
        <w:t>Et maintenant ?</w:t>
      </w:r>
    </w:p>
    <w:p>
      <w:pPr>
        <w:pStyle w:val="ListBullet"/>
        <w:spacing w:after="100"/>
      </w:pPr>
      <w:r>
        <w:rPr>
          <w:b/>
          <w:color w:val="2D1216"/>
        </w:rPr>
        <w:t xml:space="preserve">1. Nous étudions votre profil — </w:t>
      </w:r>
      <w:r>
        <w:rPr>
          <w:color w:val="3A352E"/>
          <w:sz w:val="22"/>
        </w:rPr>
        <w:t>Notre équipe étudie votre profil et confirme le palier qui vous correspond.</w:t>
      </w:r>
    </w:p>
    <w:p>
      <w:pPr>
        <w:pStyle w:val="ListBullet"/>
        <w:spacing w:after="100"/>
      </w:pPr>
      <w:r>
        <w:rPr>
          <w:b/>
          <w:color w:val="2D1216"/>
        </w:rPr>
        <w:t xml:space="preserve">2. Nous vous répondons — </w:t>
      </w:r>
      <w:r>
        <w:rPr>
          <w:color w:val="3A352E"/>
          <w:sz w:val="22"/>
        </w:rPr>
        <w:t>Réponse par e-mail sous 5 jours ouvrés. Si le partenariat se confirme, nous vous envoyons votre code personnalisé et organisons l'envoi des pièces.</w:t>
      </w:r>
    </w:p>
    <w:p>
      <w:pPr>
        <w:spacing w:before="400" w:after="160"/>
      </w:pPr>
      <w:r>
        <w:rPr>
          <w:b/>
          <w:color w:val="2D1216"/>
          <w:sz w:val="30"/>
        </w:rPr>
        <w:t>Conditions générales</w:t>
      </w:r>
    </w:p>
    <w:p>
      <w:pPr>
        <w:pStyle w:val="ListBullet"/>
        <w:spacing w:after="100"/>
      </w:pPr>
      <w:r>
        <w:rPr>
          <w:color w:val="3A352E"/>
          <w:sz w:val="22"/>
        </w:rPr>
        <w:t>Le partenariat n'implique aucune exclusivité sauf mention contraire discutée et actée par écrit.</w:t>
      </w:r>
    </w:p>
    <w:p>
      <w:pPr>
        <w:pStyle w:val="ListBullet"/>
        <w:spacing w:after="100"/>
      </w:pPr>
      <w:r>
        <w:rPr>
          <w:color w:val="3A352E"/>
          <w:sz w:val="22"/>
        </w:rPr>
        <w:t>La commission est calculée sur les ventes nettes (hors retours) générées via votre code, et versée mensuellement.</w:t>
      </w:r>
    </w:p>
    <w:p>
      <w:pPr>
        <w:pStyle w:val="ListBullet"/>
        <w:spacing w:after="100"/>
      </w:pPr>
      <w:r>
        <w:rPr>
          <w:color w:val="3A352E"/>
          <w:sz w:val="22"/>
        </w:rPr>
        <w:t>JACES se réserve le droit de mettre fin à un partenariat à tout moment en cas de non-respect de l'image de la marque.</w:t>
      </w:r>
    </w:p>
    <w:p>
      <w:pPr>
        <w:pStyle w:val="ListBullet"/>
        <w:spacing w:after="100"/>
      </w:pPr>
      <w:r>
        <w:rPr>
          <w:color w:val="3A352E"/>
          <w:sz w:val="22"/>
        </w:rPr>
        <w:t>Les contenus créés restent votre propriété ; JACES peut demander l'autorisation de les repartager sur ses propres réseaux, toujours avec mention de votre compte.</w:t>
      </w:r>
    </w:p>
    <w:p>
      <w:pPr>
        <w:pStyle w:val="ListBullet"/>
        <w:spacing w:after="100"/>
      </w:pPr>
      <w:r>
        <w:rPr>
          <w:color w:val="3A352E"/>
          <w:sz w:val="22"/>
        </w:rPr>
        <w:t>Ce devis est valable 30 jours à compter de sa date d'envoi et peut être ajusté selon les spécificités de votre profil.</w:t>
      </w:r>
    </w:p>
    <w:p>
      <w:pPr>
        <w:pBdr>
          <w:bottom w:val="single" w:sz="6" w:space="1" w:color="D8BAAB"/>
        </w:pBdr>
        <w:spacing w:after="280"/>
      </w:pPr>
    </w:p>
    <w:p>
      <w:pPr>
        <w:spacing w:before="400" w:after="160"/>
      </w:pPr>
      <w:r>
        <w:rPr>
          <w:b/>
          <w:color w:val="2D1216"/>
          <w:sz w:val="30"/>
        </w:rPr>
        <w:t>Une question ?</w:t>
      </w:r>
    </w:p>
    <w:p>
      <w:pPr>
        <w:spacing w:after="160" w:line="312" w:lineRule="auto"/>
      </w:pPr>
      <w:r>
        <w:rPr>
          <w:i w:val="0"/>
          <w:color w:val="7B3D3E"/>
          <w:sz w:val="22"/>
        </w:rPr>
        <w:t>Notre équipe reste disponible à tout moment : benjamin.peral18@gmail.com</w:t>
      </w:r>
    </w:p>
    <w:p>
      <w:pPr>
        <w:spacing w:after="160" w:line="312" w:lineRule="auto"/>
      </w:pPr>
      <w:r>
        <w:rPr>
          <w:i w:val="0"/>
          <w:color w:val="6A6156"/>
          <w:sz w:val="19"/>
        </w:rPr>
        <w:t>JACES - Paris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A35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