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866349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D551E7" w:rsidP="0037634E">
      <w:pPr>
        <w:ind w:left="360"/>
      </w:pPr>
      <w:r>
        <w:rPr>
          <w:noProof/>
        </w:rPr>
        <w:drawing>
          <wp:inline distT="0" distB="0" distL="0" distR="0">
            <wp:extent cx="2323825" cy="7677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_dpt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660" cy="767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B2446" w:rsidRDefault="00BE293E" w:rsidP="001347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本题采用</w:t>
      </w:r>
      <w:r w:rsidR="001347A5">
        <w:rPr>
          <w:rFonts w:hint="eastAsia"/>
        </w:rPr>
        <w:t>P</w:t>
      </w:r>
      <w:r w:rsidR="001347A5" w:rsidRPr="001347A5">
        <w:t>refixSpan</w:t>
      </w:r>
      <w:r>
        <w:rPr>
          <w:rFonts w:hint="eastAsia"/>
        </w:rPr>
        <w:t>算法计算</w:t>
      </w:r>
      <w:r w:rsidR="00D23F74">
        <w:rPr>
          <w:rFonts w:hint="eastAsia"/>
        </w:rPr>
        <w:t>商品购买记录中，以单个用户进行</w:t>
      </w:r>
      <w:r w:rsidR="00D67DE9">
        <w:rPr>
          <w:rFonts w:hint="eastAsia"/>
        </w:rPr>
        <w:t>单次</w:t>
      </w:r>
      <w:r w:rsidR="00D23F74">
        <w:rPr>
          <w:rFonts w:hint="eastAsia"/>
        </w:rPr>
        <w:t>购买为单位的</w:t>
      </w:r>
      <w:r w:rsidR="00D776B0">
        <w:rPr>
          <w:rFonts w:hint="eastAsia"/>
        </w:rPr>
        <w:t>时序</w:t>
      </w:r>
      <w:r w:rsidR="00D23F74">
        <w:rPr>
          <w:rFonts w:hint="eastAsia"/>
        </w:rPr>
        <w:t>频繁项</w:t>
      </w:r>
      <w:r w:rsidR="00CE6F7E">
        <w:rPr>
          <w:rFonts w:hint="eastAsia"/>
        </w:rPr>
        <w:t>集</w:t>
      </w:r>
      <w:r w:rsidR="00A354D9">
        <w:rPr>
          <w:rFonts w:hint="eastAsia"/>
        </w:rPr>
        <w:t>。</w:t>
      </w:r>
    </w:p>
    <w:p w:rsidR="00E81C9E" w:rsidRDefault="005650AE" w:rsidP="002538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算法参考：</w:t>
      </w:r>
      <w:r w:rsidR="00EA02EC">
        <w:rPr>
          <w:rFonts w:hint="eastAsia"/>
        </w:rPr>
        <w:t xml:space="preserve"> </w:t>
      </w:r>
      <w:r w:rsidR="003D42C1" w:rsidRPr="00782880">
        <w:rPr>
          <w:i/>
        </w:rPr>
        <w:t>Mining Sequential Patterns by Pattern-Growth: The PrefixSpan Approach</w:t>
      </w:r>
      <w:r w:rsidR="00051633">
        <w:rPr>
          <w:rFonts w:hint="eastAsia"/>
        </w:rPr>
        <w:t xml:space="preserve">, </w:t>
      </w:r>
      <w:r w:rsidR="003D42C1">
        <w:t>Jian Pei, Member, IEEE Computer Society, Jiawei Han, Senior Member, IEEE, Behzad Mortazavi-Asl, Jianyong Wang, Helen Pinto, Qiming Chen, Umeshwar Dayal, Member, IEEE Computer Society, and Mei-Chun Hsu</w:t>
      </w:r>
      <w:r w:rsidR="00253888">
        <w:rPr>
          <w:rFonts w:hint="eastAsia"/>
        </w:rPr>
        <w:t>(</w:t>
      </w:r>
      <w:hyperlink r:id="rId10" w:history="1">
        <w:r w:rsidR="00253888" w:rsidRPr="00253888">
          <w:rPr>
            <w:rStyle w:val="a7"/>
          </w:rPr>
          <w:t>http://www.philippe-fournier-viger.com/spmf/prefixspan.pdf</w:t>
        </w:r>
      </w:hyperlink>
      <w:r w:rsidR="00253888">
        <w:rPr>
          <w:rFonts w:hint="eastAsia"/>
        </w:rPr>
        <w:t>)</w:t>
      </w:r>
    </w:p>
    <w:p w:rsidR="008713D1" w:rsidRDefault="00577DA8" w:rsidP="008713D1">
      <w:pPr>
        <w:pStyle w:val="a5"/>
        <w:numPr>
          <w:ilvl w:val="0"/>
          <w:numId w:val="3"/>
        </w:numPr>
        <w:shd w:val="clear" w:color="auto" w:fill="FFFFFF"/>
        <w:spacing w:line="360" w:lineRule="atLeast"/>
        <w:ind w:firstLineChars="0"/>
      </w:pPr>
      <w:r>
        <w:rPr>
          <w:rFonts w:hint="eastAsia"/>
        </w:rPr>
        <w:t>P</w:t>
      </w:r>
      <w:r w:rsidRPr="001347A5">
        <w:t>refixSpan</w:t>
      </w:r>
      <w:r w:rsidR="003F69C6">
        <w:rPr>
          <w:rFonts w:hint="eastAsia"/>
        </w:rPr>
        <w:t>算法</w:t>
      </w:r>
      <w:r w:rsidR="00533954">
        <w:rPr>
          <w:rFonts w:hint="eastAsia"/>
        </w:rPr>
        <w:t>思想与</w:t>
      </w:r>
      <w:r w:rsidR="00533954">
        <w:rPr>
          <w:rFonts w:hint="eastAsia"/>
        </w:rPr>
        <w:t>FP-Growth</w:t>
      </w:r>
      <w:r w:rsidR="00533954">
        <w:rPr>
          <w:rFonts w:hint="eastAsia"/>
        </w:rPr>
        <w:t>类似</w:t>
      </w:r>
      <w:r w:rsidR="008713D1">
        <w:rPr>
          <w:rFonts w:hint="eastAsia"/>
        </w:rPr>
        <w:t>：</w:t>
      </w:r>
    </w:p>
    <w:p w:rsidR="00972A92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>输入：序列数据集</w:t>
      </w:r>
      <w:r>
        <w:rPr>
          <w:rFonts w:hint="eastAsia"/>
        </w:rPr>
        <w:t>S</w:t>
      </w:r>
      <w:r>
        <w:rPr>
          <w:rFonts w:hint="eastAsia"/>
        </w:rPr>
        <w:t>和支持度阈值α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>输出：所有满足支持度要求的频繁序列集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1</w:t>
      </w:r>
      <w:r>
        <w:rPr>
          <w:rFonts w:hint="eastAsia"/>
        </w:rPr>
        <w:t>）找出所有长度为</w:t>
      </w:r>
      <w:r>
        <w:rPr>
          <w:rFonts w:hint="eastAsia"/>
        </w:rPr>
        <w:t>1</w:t>
      </w:r>
      <w:r>
        <w:rPr>
          <w:rFonts w:hint="eastAsia"/>
        </w:rPr>
        <w:t>的前缀和对应的投影数据库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）对长度为</w:t>
      </w:r>
      <w:r>
        <w:rPr>
          <w:rFonts w:hint="eastAsia"/>
        </w:rPr>
        <w:t>1</w:t>
      </w:r>
      <w:r w:rsidR="00684805">
        <w:rPr>
          <w:rFonts w:hint="eastAsia"/>
        </w:rPr>
        <w:t>的前缀进行计数，将支持度低于阈值</w:t>
      </w:r>
      <w:r>
        <w:rPr>
          <w:rFonts w:hint="eastAsia"/>
        </w:rPr>
        <w:t>α的前缀对应的项从数据集</w:t>
      </w:r>
      <w:r>
        <w:rPr>
          <w:rFonts w:hint="eastAsia"/>
        </w:rPr>
        <w:t>S</w:t>
      </w:r>
      <w:r>
        <w:rPr>
          <w:rFonts w:hint="eastAsia"/>
        </w:rPr>
        <w:t>删除，同时得到所有的频繁</w:t>
      </w:r>
      <w:r>
        <w:rPr>
          <w:rFonts w:hint="eastAsia"/>
        </w:rPr>
        <w:t>1</w:t>
      </w:r>
      <w:r>
        <w:rPr>
          <w:rFonts w:hint="eastAsia"/>
        </w:rPr>
        <w:t>项序列，</w:t>
      </w:r>
      <w:r>
        <w:rPr>
          <w:rFonts w:hint="eastAsia"/>
        </w:rPr>
        <w:t>i=1.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3</w:t>
      </w:r>
      <w:r>
        <w:rPr>
          <w:rFonts w:hint="eastAsia"/>
        </w:rPr>
        <w:t>）对于每个长度为</w:t>
      </w:r>
      <w:r>
        <w:rPr>
          <w:rFonts w:hint="eastAsia"/>
        </w:rPr>
        <w:t>i</w:t>
      </w:r>
      <w:r>
        <w:rPr>
          <w:rFonts w:hint="eastAsia"/>
        </w:rPr>
        <w:t>满足支持度要求的前缀进行递归挖掘：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a) </w:t>
      </w:r>
      <w:r>
        <w:rPr>
          <w:rFonts w:hint="eastAsia"/>
        </w:rPr>
        <w:t>找出前缀所对应的投影数据库。如果投影数据库为空，则递归返回。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b) </w:t>
      </w:r>
      <w:r>
        <w:rPr>
          <w:rFonts w:hint="eastAsia"/>
        </w:rPr>
        <w:t>统计对应投影数据库中各项的支持度计数。如果所有项的支持度计数都低于阈值αα，则递归返回。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c) </w:t>
      </w:r>
      <w:r>
        <w:rPr>
          <w:rFonts w:hint="eastAsia"/>
        </w:rPr>
        <w:t>将满足支持度计数的各个单项和当前的前缀进行合并，得到若干新的前缀。</w:t>
      </w:r>
    </w:p>
    <w:p w:rsidR="00285C06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d) </w:t>
      </w:r>
      <w:r>
        <w:rPr>
          <w:rFonts w:hint="eastAsia"/>
        </w:rPr>
        <w:t>令</w:t>
      </w:r>
      <w:r>
        <w:rPr>
          <w:rFonts w:hint="eastAsia"/>
        </w:rPr>
        <w:t>i=i+1</w:t>
      </w:r>
      <w:r>
        <w:rPr>
          <w:rFonts w:hint="eastAsia"/>
        </w:rPr>
        <w:t>，前缀为合并单项后的各个前缀，分别递归执行第</w:t>
      </w:r>
      <w:r>
        <w:rPr>
          <w:rFonts w:hint="eastAsia"/>
        </w:rPr>
        <w:t>3</w:t>
      </w:r>
      <w:r>
        <w:rPr>
          <w:rFonts w:hint="eastAsia"/>
        </w:rPr>
        <w:t>步</w:t>
      </w:r>
      <w:r w:rsidR="00495AB8">
        <w:rPr>
          <w:rFonts w:hint="eastAsia"/>
        </w:rPr>
        <w:t>具体</w:t>
      </w:r>
    </w:p>
    <w:p w:rsidR="008E7604" w:rsidRDefault="008E760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实际输入为</w:t>
      </w:r>
      <w:r w:rsidR="00005B4C">
        <w:rPr>
          <w:rFonts w:hint="eastAsia"/>
        </w:rPr>
        <w:t>全部用户的单笔订单样本</w:t>
      </w:r>
      <w:r w:rsidR="00691A5D">
        <w:rPr>
          <w:rFonts w:hint="eastAsia"/>
        </w:rPr>
        <w:t>，此处</w:t>
      </w:r>
      <w:r w:rsidR="00691A5D">
        <w:rPr>
          <w:rFonts w:hint="eastAsia"/>
        </w:rPr>
        <w:t>itemno</w:t>
      </w:r>
      <w:r w:rsidR="00691A5D">
        <w:rPr>
          <w:rFonts w:hint="eastAsia"/>
        </w:rPr>
        <w:t>为</w:t>
      </w:r>
      <w:r w:rsidR="003A3482">
        <w:rPr>
          <w:rFonts w:hint="eastAsia"/>
        </w:rPr>
        <w:t>dpt</w:t>
      </w:r>
      <w:r w:rsidR="00691A5D">
        <w:rPr>
          <w:rFonts w:hint="eastAsia"/>
        </w:rPr>
        <w:t>no</w:t>
      </w:r>
      <w:r w:rsidR="006D160A">
        <w:rPr>
          <w:rFonts w:hint="eastAsia"/>
        </w:rPr>
        <w:t>。</w:t>
      </w:r>
    </w:p>
    <w:p w:rsidR="006D160A" w:rsidRDefault="005F2323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输出为对应频繁项集合</w:t>
      </w:r>
      <w:r w:rsidR="000F3768">
        <w:rPr>
          <w:rFonts w:hint="eastAsia"/>
        </w:rPr>
        <w:t>。</w:t>
      </w:r>
    </w:p>
    <w:p w:rsidR="00D47474" w:rsidRDefault="00D4747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分析输出可见，</w:t>
      </w:r>
      <w:r w:rsidR="003F24E0">
        <w:rPr>
          <w:rFonts w:hint="eastAsia"/>
        </w:rPr>
        <w:t>频繁集中大部分或者说</w:t>
      </w:r>
      <w:r w:rsidR="003F24E0">
        <w:rPr>
          <w:rFonts w:hint="eastAsia"/>
        </w:rPr>
        <w:t>support</w:t>
      </w:r>
      <w:r w:rsidR="003F24E0">
        <w:rPr>
          <w:rFonts w:hint="eastAsia"/>
        </w:rPr>
        <w:t>较高的频繁项都是单个</w:t>
      </w:r>
      <w:r w:rsidR="003F24E0">
        <w:rPr>
          <w:rFonts w:hint="eastAsia"/>
        </w:rPr>
        <w:t>itemno</w:t>
      </w:r>
      <w:r w:rsidR="003F24E0">
        <w:rPr>
          <w:rFonts w:hint="eastAsia"/>
        </w:rPr>
        <w:t>构成</w:t>
      </w:r>
      <w:r w:rsidR="002062C1">
        <w:rPr>
          <w:rFonts w:hint="eastAsia"/>
        </w:rPr>
        <w:t>，相当于该</w:t>
      </w:r>
      <w:r w:rsidR="002062C1">
        <w:rPr>
          <w:rFonts w:hint="eastAsia"/>
        </w:rPr>
        <w:t>itemno</w:t>
      </w:r>
      <w:r w:rsidR="002062C1">
        <w:rPr>
          <w:rFonts w:hint="eastAsia"/>
        </w:rPr>
        <w:t>在数据集中出现的次数统计</w:t>
      </w:r>
      <w:r w:rsidR="00AD4BE8">
        <w:rPr>
          <w:rFonts w:hint="eastAsia"/>
        </w:rPr>
        <w:t>。这样的数据符合频繁集要求但是在之后的预测计算中将予以过滤</w:t>
      </w:r>
      <w:r w:rsidR="0065262C">
        <w:rPr>
          <w:rFonts w:hint="eastAsia"/>
        </w:rPr>
        <w:t>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AD53CB" w:rsidRDefault="00EE348E" w:rsidP="0037634E">
      <w:pPr>
        <w:ind w:left="360"/>
      </w:pPr>
      <w:r>
        <w:rPr>
          <w:rFonts w:hint="eastAsia"/>
        </w:rPr>
        <w:t>完成两个数据集的频繁集挖掘及输出，总计</w:t>
      </w:r>
      <w:r w:rsidR="00CB451A">
        <w:rPr>
          <w:rFonts w:hint="eastAsia"/>
        </w:rPr>
        <w:t>运行时间</w:t>
      </w:r>
      <w:r>
        <w:rPr>
          <w:rFonts w:hint="eastAsia"/>
        </w:rPr>
        <w:t>为：</w:t>
      </w:r>
      <w:r w:rsidR="00E74E0B">
        <w:rPr>
          <w:rFonts w:hint="eastAsia"/>
        </w:rPr>
        <w:t>12.191</w:t>
      </w:r>
      <w:r w:rsidR="002E1DFE">
        <w:rPr>
          <w:rFonts w:hint="eastAsia"/>
        </w:rPr>
        <w:t>s</w:t>
      </w:r>
    </w:p>
    <w:p w:rsidR="00FD297D" w:rsidRDefault="00FD297D" w:rsidP="00FD297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</w:rPr>
        <w:t>与</w:t>
      </w:r>
      <w:r>
        <w:rPr>
          <w:rFonts w:hint="eastAsia"/>
        </w:rPr>
        <w:t>ai</w:t>
      </w:r>
      <w:r>
        <w:rPr>
          <w:rFonts w:hint="eastAsia"/>
        </w:rPr>
        <w:t>除算法外基本相同，具有一定可比性</w:t>
      </w:r>
      <w:r w:rsidR="007E020F">
        <w:rPr>
          <w:rFonts w:hint="eastAsia"/>
        </w:rPr>
        <w:t>。考虑到</w:t>
      </w:r>
      <w:r w:rsidR="00FF51F0">
        <w:rPr>
          <w:rFonts w:hint="eastAsia"/>
        </w:rPr>
        <w:t>PrefixSpan</w:t>
      </w:r>
      <w:r w:rsidR="00FF51F0">
        <w:rPr>
          <w:rFonts w:hint="eastAsia"/>
        </w:rPr>
        <w:t>产生的结果</w:t>
      </w:r>
      <w:r w:rsidR="007040D1">
        <w:rPr>
          <w:rFonts w:hint="eastAsia"/>
        </w:rPr>
        <w:t>数量</w:t>
      </w:r>
      <w:r w:rsidR="00CF1A48">
        <w:rPr>
          <w:rFonts w:hint="eastAsia"/>
        </w:rPr>
        <w:t>约等于</w:t>
      </w:r>
      <w:r w:rsidR="007741C5">
        <w:rPr>
          <w:rFonts w:hint="eastAsia"/>
        </w:rPr>
        <w:t>FP-Growth</w:t>
      </w:r>
      <w:r w:rsidR="000014F2">
        <w:rPr>
          <w:rFonts w:hint="eastAsia"/>
        </w:rPr>
        <w:t>，可见</w:t>
      </w:r>
      <w:r w:rsidR="00FD4A57">
        <w:rPr>
          <w:rFonts w:hint="eastAsia"/>
        </w:rPr>
        <w:t>PrefixSpan</w:t>
      </w:r>
      <w:r w:rsidR="00FD4A57">
        <w:rPr>
          <w:rFonts w:hint="eastAsia"/>
        </w:rPr>
        <w:t>在</w:t>
      </w:r>
      <w:r w:rsidR="00C85A12">
        <w:rPr>
          <w:rFonts w:hint="eastAsia"/>
        </w:rPr>
        <w:t>计算性能上</w:t>
      </w:r>
      <w:r w:rsidR="00AC7B76">
        <w:rPr>
          <w:rFonts w:hint="eastAsia"/>
        </w:rPr>
        <w:t>不输于</w:t>
      </w:r>
      <w:r w:rsidR="00AC7B76">
        <w:rPr>
          <w:rFonts w:hint="eastAsia"/>
        </w:rPr>
        <w:t>FP-Growth</w:t>
      </w:r>
      <w:r w:rsidR="00432D8E">
        <w:rPr>
          <w:rFonts w:hint="eastAsia"/>
        </w:rPr>
        <w:t>。</w:t>
      </w:r>
    </w:p>
    <w:p w:rsidR="0055405C" w:rsidRDefault="007F48CA" w:rsidP="007F48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考虑到</w:t>
      </w:r>
      <w:r>
        <w:rPr>
          <w:rFonts w:hint="eastAsia"/>
        </w:rPr>
        <w:t>dptno</w:t>
      </w:r>
      <w:r>
        <w:rPr>
          <w:rFonts w:hint="eastAsia"/>
        </w:rPr>
        <w:t>相较于</w:t>
      </w:r>
      <w:r>
        <w:rPr>
          <w:rFonts w:hint="eastAsia"/>
        </w:rPr>
        <w:t>bndno</w:t>
      </w:r>
      <w:r>
        <w:rPr>
          <w:rFonts w:hint="eastAsia"/>
        </w:rPr>
        <w:t>有着更少的可能性，即</w:t>
      </w:r>
      <w:r>
        <w:rPr>
          <w:rFonts w:hint="eastAsia"/>
        </w:rPr>
        <w:t>dptno</w:t>
      </w:r>
      <w:r>
        <w:rPr>
          <w:rFonts w:hint="eastAsia"/>
        </w:rPr>
        <w:t>会出现更复杂的频繁模式，因此运行耗时相较于</w:t>
      </w:r>
      <w:r>
        <w:rPr>
          <w:rFonts w:hint="eastAsia"/>
        </w:rPr>
        <w:t>bndno</w:t>
      </w:r>
      <w:r>
        <w:rPr>
          <w:rFonts w:hint="eastAsia"/>
        </w:rPr>
        <w:t>有明显增加。</w:t>
      </w:r>
      <w:bookmarkStart w:id="0" w:name="_GoBack"/>
      <w:bookmarkEnd w:id="0"/>
    </w:p>
    <w:p w:rsidR="00C51C07" w:rsidRPr="0037634E" w:rsidRDefault="00AD59D3" w:rsidP="0037634E">
      <w:pPr>
        <w:ind w:left="360"/>
      </w:pPr>
      <w:r>
        <w:rPr>
          <w:noProof/>
        </w:rPr>
        <w:lastRenderedPageBreak/>
        <w:drawing>
          <wp:inline distT="0" distB="0" distL="0" distR="0" wp14:anchorId="2D9AD647" wp14:editId="281B3544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C51C07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349" w:rsidRDefault="00866349" w:rsidP="004F4F15">
      <w:r>
        <w:separator/>
      </w:r>
    </w:p>
  </w:endnote>
  <w:endnote w:type="continuationSeparator" w:id="0">
    <w:p w:rsidR="00866349" w:rsidRDefault="00866349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349" w:rsidRDefault="00866349" w:rsidP="004F4F15">
      <w:r>
        <w:separator/>
      </w:r>
    </w:p>
  </w:footnote>
  <w:footnote w:type="continuationSeparator" w:id="0">
    <w:p w:rsidR="00866349" w:rsidRDefault="00866349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2B101B"/>
    <w:multiLevelType w:val="hybridMultilevel"/>
    <w:tmpl w:val="A0A21638"/>
    <w:lvl w:ilvl="0" w:tplc="EA926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092C5B"/>
    <w:multiLevelType w:val="hybridMultilevel"/>
    <w:tmpl w:val="604838AE"/>
    <w:lvl w:ilvl="0" w:tplc="2BE8C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14F2"/>
    <w:rsid w:val="00005B4C"/>
    <w:rsid w:val="00022C5C"/>
    <w:rsid w:val="00051633"/>
    <w:rsid w:val="000614B4"/>
    <w:rsid w:val="000A3A1F"/>
    <w:rsid w:val="000C6BD1"/>
    <w:rsid w:val="000F022C"/>
    <w:rsid w:val="000F3768"/>
    <w:rsid w:val="00104393"/>
    <w:rsid w:val="00121C69"/>
    <w:rsid w:val="00123577"/>
    <w:rsid w:val="001347A5"/>
    <w:rsid w:val="001B76F7"/>
    <w:rsid w:val="001D0230"/>
    <w:rsid w:val="001D2A19"/>
    <w:rsid w:val="001F49E1"/>
    <w:rsid w:val="002062C1"/>
    <w:rsid w:val="0021243A"/>
    <w:rsid w:val="00241049"/>
    <w:rsid w:val="0024697A"/>
    <w:rsid w:val="0025256B"/>
    <w:rsid w:val="00253888"/>
    <w:rsid w:val="00285C06"/>
    <w:rsid w:val="00291B63"/>
    <w:rsid w:val="002E1DFE"/>
    <w:rsid w:val="002F5255"/>
    <w:rsid w:val="00312E1E"/>
    <w:rsid w:val="00324318"/>
    <w:rsid w:val="00333A17"/>
    <w:rsid w:val="0033499E"/>
    <w:rsid w:val="00365288"/>
    <w:rsid w:val="003674F5"/>
    <w:rsid w:val="0037634E"/>
    <w:rsid w:val="0039424C"/>
    <w:rsid w:val="003A3482"/>
    <w:rsid w:val="003B0F87"/>
    <w:rsid w:val="003B2446"/>
    <w:rsid w:val="003B61BC"/>
    <w:rsid w:val="003C669B"/>
    <w:rsid w:val="003D42C1"/>
    <w:rsid w:val="003E73E8"/>
    <w:rsid w:val="003F24E0"/>
    <w:rsid w:val="003F4023"/>
    <w:rsid w:val="003F69C6"/>
    <w:rsid w:val="00411AF0"/>
    <w:rsid w:val="00412DD7"/>
    <w:rsid w:val="0041496D"/>
    <w:rsid w:val="004151FF"/>
    <w:rsid w:val="00432D8E"/>
    <w:rsid w:val="00443039"/>
    <w:rsid w:val="00443C10"/>
    <w:rsid w:val="00464F3B"/>
    <w:rsid w:val="004956C3"/>
    <w:rsid w:val="00495AB8"/>
    <w:rsid w:val="004C30AD"/>
    <w:rsid w:val="004E45D4"/>
    <w:rsid w:val="004F4F15"/>
    <w:rsid w:val="005234ED"/>
    <w:rsid w:val="00533954"/>
    <w:rsid w:val="005368A3"/>
    <w:rsid w:val="00551B30"/>
    <w:rsid w:val="0055405C"/>
    <w:rsid w:val="005650AE"/>
    <w:rsid w:val="00570BA5"/>
    <w:rsid w:val="00577DA8"/>
    <w:rsid w:val="00593DDF"/>
    <w:rsid w:val="005B30FD"/>
    <w:rsid w:val="005D2141"/>
    <w:rsid w:val="005E5650"/>
    <w:rsid w:val="005E7640"/>
    <w:rsid w:val="005F2323"/>
    <w:rsid w:val="005F6DC1"/>
    <w:rsid w:val="005F71BB"/>
    <w:rsid w:val="006072EB"/>
    <w:rsid w:val="006247F1"/>
    <w:rsid w:val="00634409"/>
    <w:rsid w:val="0065262C"/>
    <w:rsid w:val="006551A0"/>
    <w:rsid w:val="00684805"/>
    <w:rsid w:val="00686A60"/>
    <w:rsid w:val="00691A5D"/>
    <w:rsid w:val="0069614A"/>
    <w:rsid w:val="006D160A"/>
    <w:rsid w:val="007040D1"/>
    <w:rsid w:val="00747024"/>
    <w:rsid w:val="007741C5"/>
    <w:rsid w:val="00782880"/>
    <w:rsid w:val="007A1FD2"/>
    <w:rsid w:val="007B63E6"/>
    <w:rsid w:val="007E020F"/>
    <w:rsid w:val="007E4378"/>
    <w:rsid w:val="007F10B6"/>
    <w:rsid w:val="007F48CA"/>
    <w:rsid w:val="00815DED"/>
    <w:rsid w:val="00820680"/>
    <w:rsid w:val="0082074F"/>
    <w:rsid w:val="00822B63"/>
    <w:rsid w:val="00866349"/>
    <w:rsid w:val="008713D1"/>
    <w:rsid w:val="008A0C27"/>
    <w:rsid w:val="008E48CE"/>
    <w:rsid w:val="008E7604"/>
    <w:rsid w:val="008F6346"/>
    <w:rsid w:val="0094028E"/>
    <w:rsid w:val="00972A92"/>
    <w:rsid w:val="00974278"/>
    <w:rsid w:val="009B0F61"/>
    <w:rsid w:val="009C3B4E"/>
    <w:rsid w:val="009E1545"/>
    <w:rsid w:val="009E493F"/>
    <w:rsid w:val="009F2F7D"/>
    <w:rsid w:val="00A354D9"/>
    <w:rsid w:val="00A40368"/>
    <w:rsid w:val="00A60351"/>
    <w:rsid w:val="00A613F2"/>
    <w:rsid w:val="00A73E11"/>
    <w:rsid w:val="00A84317"/>
    <w:rsid w:val="00A97D15"/>
    <w:rsid w:val="00AA6A95"/>
    <w:rsid w:val="00AA6F29"/>
    <w:rsid w:val="00AB45F7"/>
    <w:rsid w:val="00AB7BF5"/>
    <w:rsid w:val="00AC313C"/>
    <w:rsid w:val="00AC7B76"/>
    <w:rsid w:val="00AD3C9C"/>
    <w:rsid w:val="00AD4BE8"/>
    <w:rsid w:val="00AD53CB"/>
    <w:rsid w:val="00AD59D3"/>
    <w:rsid w:val="00AE5555"/>
    <w:rsid w:val="00B26219"/>
    <w:rsid w:val="00B97147"/>
    <w:rsid w:val="00BE23A3"/>
    <w:rsid w:val="00BE293E"/>
    <w:rsid w:val="00C00E81"/>
    <w:rsid w:val="00C12ACB"/>
    <w:rsid w:val="00C46414"/>
    <w:rsid w:val="00C51C07"/>
    <w:rsid w:val="00C56694"/>
    <w:rsid w:val="00C56BC4"/>
    <w:rsid w:val="00C71198"/>
    <w:rsid w:val="00C85332"/>
    <w:rsid w:val="00C85A12"/>
    <w:rsid w:val="00C87711"/>
    <w:rsid w:val="00CA7814"/>
    <w:rsid w:val="00CB451A"/>
    <w:rsid w:val="00CC59BC"/>
    <w:rsid w:val="00CE6F7E"/>
    <w:rsid w:val="00CF1A48"/>
    <w:rsid w:val="00D109AA"/>
    <w:rsid w:val="00D23F74"/>
    <w:rsid w:val="00D44AD6"/>
    <w:rsid w:val="00D47474"/>
    <w:rsid w:val="00D50759"/>
    <w:rsid w:val="00D551E7"/>
    <w:rsid w:val="00D61141"/>
    <w:rsid w:val="00D67DE9"/>
    <w:rsid w:val="00D776B0"/>
    <w:rsid w:val="00D80CCA"/>
    <w:rsid w:val="00D81279"/>
    <w:rsid w:val="00D814CD"/>
    <w:rsid w:val="00DD0C75"/>
    <w:rsid w:val="00DF0545"/>
    <w:rsid w:val="00E11BD1"/>
    <w:rsid w:val="00E16A99"/>
    <w:rsid w:val="00E47AB9"/>
    <w:rsid w:val="00E54955"/>
    <w:rsid w:val="00E611B1"/>
    <w:rsid w:val="00E74E0B"/>
    <w:rsid w:val="00E81C9E"/>
    <w:rsid w:val="00EA02EC"/>
    <w:rsid w:val="00EA5FA4"/>
    <w:rsid w:val="00EB4439"/>
    <w:rsid w:val="00EC593D"/>
    <w:rsid w:val="00ED0F7B"/>
    <w:rsid w:val="00EE348E"/>
    <w:rsid w:val="00FA1024"/>
    <w:rsid w:val="00FA252F"/>
    <w:rsid w:val="00FC03B8"/>
    <w:rsid w:val="00FD297D"/>
    <w:rsid w:val="00FD4A57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_dptno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://www.philippe-fournier-viger.com/spmf/prefixspa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bi</a:t>
            </a:r>
            <a:endParaRPr lang="en-US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9.5969999999999995</c:v>
                </c:pt>
                <c:pt idx="1">
                  <c:v>36.340000000000003</c:v>
                </c:pt>
                <c:pt idx="2">
                  <c:v>27.895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59.000999999999998</c:v>
                </c:pt>
                <c:pt idx="1">
                  <c:v>4374.0940000000001</c:v>
                </c:pt>
                <c:pt idx="2">
                  <c:v>157.88200000000001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4.3289999999999997</c:v>
                </c:pt>
                <c:pt idx="1">
                  <c:v>12.191000000000001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589824"/>
        <c:axId val="140551296"/>
      </c:barChart>
      <c:catAx>
        <c:axId val="134589824"/>
        <c:scaling>
          <c:orientation val="minMax"/>
        </c:scaling>
        <c:delete val="0"/>
        <c:axPos val="b"/>
        <c:majorTickMark val="out"/>
        <c:minorTickMark val="none"/>
        <c:tickLblPos val="nextTo"/>
        <c:crossAx val="140551296"/>
        <c:crosses val="autoZero"/>
        <c:auto val="1"/>
        <c:lblAlgn val="ctr"/>
        <c:lblOffset val="100"/>
        <c:noMultiLvlLbl val="0"/>
      </c:catAx>
      <c:valAx>
        <c:axId val="140551296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589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164</cp:revision>
  <dcterms:created xsi:type="dcterms:W3CDTF">2018-03-24T11:29:00Z</dcterms:created>
  <dcterms:modified xsi:type="dcterms:W3CDTF">2018-05-05T09:07:00Z</dcterms:modified>
</cp:coreProperties>
</file>