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CAPSTONE PROJECT CONCEPT PAPER</w:t>
      </w:r>
    </w:p>
    <w:p w:rsidR="00000000" w:rsidDel="00000000" w:rsidP="00000000" w:rsidRDefault="00000000" w:rsidRPr="00000000" w14:paraId="0000000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ENHANCING YOUTH PARTICIPATION AND GOVERNANCE:</w:t>
      </w:r>
    </w:p>
    <w:p w:rsidR="00000000" w:rsidDel="00000000" w:rsidP="00000000" w:rsidRDefault="00000000" w:rsidRPr="00000000" w14:paraId="00000005">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PROGRESSIVE WEB APPLICATION FOR INFORMATION, PARTICIPATION, AND TRANSPARENCY FOR LOCAL YOUTH DEVELOPMENT OFFICES </w:t>
      </w:r>
    </w:p>
    <w:p w:rsidR="00000000" w:rsidDel="00000000" w:rsidP="00000000" w:rsidRDefault="00000000" w:rsidRPr="00000000" w14:paraId="00000006">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 METRO MANILA</w:t>
      </w:r>
    </w:p>
    <w:p w:rsidR="00000000" w:rsidDel="00000000" w:rsidP="00000000" w:rsidRDefault="00000000" w:rsidRPr="00000000" w14:paraId="00000007">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rPr>
      </w:pPr>
      <w:r w:rsidDel="00000000" w:rsidR="00000000" w:rsidRPr="00000000">
        <w:rPr>
          <w:rFonts w:ascii="Arial" w:cs="Arial" w:eastAsia="Arial" w:hAnsi="Arial"/>
          <w:rtl w:val="0"/>
        </w:rPr>
        <w:t xml:space="preserve">Naomi Erica Angel M. De Guzman, Alyssa Marie D. Dela Cruz, </w:t>
      </w:r>
    </w:p>
    <w:p w:rsidR="00000000" w:rsidDel="00000000" w:rsidP="00000000" w:rsidRDefault="00000000" w:rsidRPr="00000000" w14:paraId="00000009">
      <w:pPr>
        <w:spacing w:after="0" w:lineRule="auto"/>
        <w:jc w:val="center"/>
        <w:rPr>
          <w:rFonts w:ascii="Arial" w:cs="Arial" w:eastAsia="Arial" w:hAnsi="Arial"/>
        </w:rPr>
      </w:pPr>
      <w:r w:rsidDel="00000000" w:rsidR="00000000" w:rsidRPr="00000000">
        <w:rPr>
          <w:rFonts w:ascii="Arial" w:cs="Arial" w:eastAsia="Arial" w:hAnsi="Arial"/>
          <w:rtl w:val="0"/>
        </w:rPr>
        <w:t xml:space="preserve">Christopher G. Natada, Daniella M. Simara</w:t>
      </w:r>
    </w:p>
    <w:p w:rsidR="00000000" w:rsidDel="00000000" w:rsidP="00000000" w:rsidRDefault="00000000" w:rsidRPr="00000000" w14:paraId="0000000A">
      <w:pPr>
        <w:spacing w:after="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BSIT 3-1N</w:t>
      </w:r>
    </w:p>
    <w:p w:rsidR="00000000" w:rsidDel="00000000" w:rsidP="00000000" w:rsidRDefault="00000000" w:rsidRPr="00000000" w14:paraId="0000000B">
      <w:pPr>
        <w:spacing w:after="0" w:lineRule="auto"/>
        <w:jc w:val="both"/>
        <w:rPr>
          <w:rFonts w:ascii="Arial" w:cs="Arial" w:eastAsia="Arial" w:hAnsi="Arial"/>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520"/>
        <w:tblGridChange w:id="0">
          <w:tblGrid>
            <w:gridCol w:w="2830"/>
            <w:gridCol w:w="6520"/>
          </w:tblGrid>
        </w:tblGridChange>
      </w:tblGrid>
      <w:tr>
        <w:trPr>
          <w:cantSplit w:val="0"/>
          <w:tblHeader w:val="0"/>
        </w:trPr>
        <w:tc>
          <w:tcPr/>
          <w:p w:rsidR="00000000" w:rsidDel="00000000" w:rsidP="00000000" w:rsidRDefault="00000000" w:rsidRPr="00000000" w14:paraId="0000000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Area of Specialization</w:t>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(Please check)</w:t>
            </w:r>
          </w:p>
        </w:tc>
        <w:tc>
          <w:tcPr/>
          <w:p w:rsidR="00000000" w:rsidDel="00000000" w:rsidP="00000000" w:rsidRDefault="00000000" w:rsidRPr="00000000" w14:paraId="0000000E">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Software / Application Development (Web, Mobile, Desktop)</w:t>
            </w:r>
          </w:p>
          <w:p w:rsidR="00000000" w:rsidDel="00000000" w:rsidP="00000000" w:rsidRDefault="00000000" w:rsidRPr="00000000" w14:paraId="0000000F">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Game Development</w:t>
            </w:r>
          </w:p>
          <w:p w:rsidR="00000000" w:rsidDel="00000000" w:rsidP="00000000" w:rsidRDefault="00000000" w:rsidRPr="00000000" w14:paraId="00000010">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Mobile Application Development</w:t>
            </w:r>
          </w:p>
          <w:p w:rsidR="00000000" w:rsidDel="00000000" w:rsidP="00000000" w:rsidRDefault="00000000" w:rsidRPr="00000000" w14:paraId="00000011">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Database Management and Information Systems</w:t>
            </w:r>
          </w:p>
          <w:p w:rsidR="00000000" w:rsidDel="00000000" w:rsidP="00000000" w:rsidRDefault="00000000" w:rsidRPr="00000000" w14:paraId="00000012">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Networking and Infrastructure</w:t>
            </w:r>
          </w:p>
          <w:p w:rsidR="00000000" w:rsidDel="00000000" w:rsidP="00000000" w:rsidRDefault="00000000" w:rsidRPr="00000000" w14:paraId="00000013">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Cybersecurity / Information Security</w:t>
            </w:r>
          </w:p>
          <w:p w:rsidR="00000000" w:rsidDel="00000000" w:rsidP="00000000" w:rsidRDefault="00000000" w:rsidRPr="00000000" w14:paraId="00000014">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Data Analytics / Data Science</w:t>
            </w:r>
          </w:p>
          <w:p w:rsidR="00000000" w:rsidDel="00000000" w:rsidP="00000000" w:rsidRDefault="00000000" w:rsidRPr="00000000" w14:paraId="00000015">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Artificial Intelligence / Intelligent Systems</w:t>
            </w:r>
          </w:p>
          <w:p w:rsidR="00000000" w:rsidDel="00000000" w:rsidP="00000000" w:rsidRDefault="00000000" w:rsidRPr="00000000" w14:paraId="00000016">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Internet of Things (IoT)</w:t>
            </w:r>
          </w:p>
          <w:p w:rsidR="00000000" w:rsidDel="00000000" w:rsidP="00000000" w:rsidRDefault="00000000" w:rsidRPr="00000000" w14:paraId="00000017">
            <w:pPr>
              <w:numPr>
                <w:ilvl w:val="0"/>
                <w:numId w:val="7"/>
              </w:numPr>
              <w:spacing w:after="0" w:lineRule="auto"/>
              <w:ind w:left="360"/>
              <w:jc w:val="both"/>
              <w:rPr>
                <w:rFonts w:ascii="Arial" w:cs="Arial" w:eastAsia="Arial" w:hAnsi="Arial"/>
              </w:rPr>
            </w:pPr>
            <w:r w:rsidDel="00000000" w:rsidR="00000000" w:rsidRPr="00000000">
              <w:rPr>
                <w:rFonts w:ascii="Arial" w:cs="Arial" w:eastAsia="Arial" w:hAnsi="Arial"/>
                <w:rtl w:val="0"/>
              </w:rPr>
              <w:t xml:space="preserve">Educational Technology / E-Government / Domain-Specific Systems</w:t>
            </w:r>
          </w:p>
        </w:tc>
      </w:tr>
    </w:tbl>
    <w:p w:rsidR="00000000" w:rsidDel="00000000" w:rsidP="00000000" w:rsidRDefault="00000000" w:rsidRPr="00000000" w14:paraId="0000001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INTRODUCTION / BACKGROUND</w:t>
      </w:r>
      <w:r w:rsidDel="00000000" w:rsidR="00000000" w:rsidRPr="00000000">
        <w:rPr>
          <w:rtl w:val="0"/>
        </w:rPr>
      </w:r>
    </w:p>
    <w:p w:rsidR="00000000" w:rsidDel="00000000" w:rsidP="00000000" w:rsidRDefault="00000000" w:rsidRPr="00000000" w14:paraId="0000001A">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youth are often regarded as the “hope of the nation,” highlighting their important role in nation-building. In the Philippines, youth development and participation are institutionally supported through Republic Act No.10742, or the Sangguniang Kabataan Reform Act of 2015, as amended by Republic Act No.11768, together with the Revised Implementing Rules and Regulations of Republic Act No.10742. These legal bases position the Local Youth Development Offices (LYDOs) as an important local structure for youth governance. In particular, Republic Act No.11768, Section 10, strengthens the legal basis for the creation of LYDOs, while the Revised IRR of Republic Act No.10742 authorizes LYDOs to register and verify youth and youth-serving organizations under the Youth Organization Registration Program (YORP). These mandates position LYDOs as key local institutions for coordinating youth development initiatives, maintaining organized youth organization records, and supporting structured youth participation at the local level.</w:t>
      </w:r>
    </w:p>
    <w:p w:rsidR="00000000" w:rsidDel="00000000" w:rsidP="00000000" w:rsidRDefault="00000000" w:rsidRPr="00000000" w14:paraId="0000001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Within Metro Manila, which is composed of 16 cities and 1 municipality, LYDO operations in the selected local context often rely on social media, manual records, and disconnected third-party tools, creating operational limitations. Villodre (2024) explains that social media, although widely used for announcements and outreach, provides limited control, traceability, and consistency for formal public information management. This limitation is significant in light of Republic Act No.12254, or the E-Governance Act, Sections 20 to 22, which require more formal, secure, accessible, and regularly updated government websites and information portals. Valenzuela (2025) further notes that manual documentation practices make data management inefficient and difficult to analyze, thereby limiting the ability of administrators to monitor youth participation and evaluate program outcomes effectively. Mao and Zhu (2025) likewise argue that the use of multiple non-integrated tools can result in inconsistent records and data gaps that weaken service delivery and decision-making, which runs counter to the streamlining goals of Republic Act No.11032, or the Ease of Doing Business and Efficient Government Service Delivery Act of 2018, and the broader direction of *integrated digital governance under Republic Act No.12254. These conditions show that existing LYDO practices remain fragmented and insufficient for more efficient, accountable, and coordinated youth governance.</w:t>
      </w:r>
    </w:p>
    <w:p w:rsidR="00000000" w:rsidDel="00000000" w:rsidP="00000000" w:rsidRDefault="00000000" w:rsidRPr="00000000" w14:paraId="0000001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In response to these legal, operational, and technological challenges, this study proposes the development of a centralized Progressive Web Application (PWA). The system is intended to improve the dissemination of youth-related information and LYDO services, support more organized handling of youth records and youth-organization registration-related workflows, enable systematic monitoring of youth participation and program outcomes, and provide a centralized and regularly updated transparency platform aligned with relevant e-governance, transparency, and public service delivery requirements. Because the system will also handle youth and participation-related records, its design must likewise observe Republic Act No.10173, or the Data Privacy Act of 2012, particularly in ensuring the proper, secure, and proportionate processing of personal information. By integrating these legal and operational considerations into its design, the proposed system aims to strengthen accountability, support public trust, and promote more efficient and inclusive youth governance.</w:t>
      </w:r>
    </w:p>
    <w:p w:rsidR="00000000" w:rsidDel="00000000" w:rsidP="00000000" w:rsidRDefault="00000000" w:rsidRPr="00000000" w14:paraId="0000001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PROJECT RATIONALE</w:t>
      </w:r>
    </w:p>
    <w:p w:rsidR="00000000" w:rsidDel="00000000" w:rsidP="00000000" w:rsidRDefault="00000000" w:rsidRPr="00000000" w14:paraId="00000022">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Effective youth </w:t>
      </w:r>
      <w:r w:rsidDel="00000000" w:rsidR="00000000" w:rsidRPr="00000000">
        <w:rPr>
          <w:rFonts w:ascii="Arial" w:cs="Arial" w:eastAsia="Arial" w:hAnsi="Arial"/>
          <w:rtl w:val="0"/>
        </w:rPr>
        <w:t xml:space="preserve">governance</w:t>
      </w:r>
      <w:r w:rsidDel="00000000" w:rsidR="00000000" w:rsidRPr="00000000">
        <w:rPr>
          <w:rFonts w:ascii="Arial" w:cs="Arial" w:eastAsia="Arial" w:hAnsi="Arial"/>
          <w:rtl w:val="0"/>
        </w:rPr>
        <w:t xml:space="preserve"> requires structured and efficient systems for managing program information, monitoring participation, and ensuring transparency in the delivery of public services. Local Youth Development Offices (LYDOs), as established under </w:t>
      </w:r>
      <w:r w:rsidDel="00000000" w:rsidR="00000000" w:rsidRPr="00000000">
        <w:rPr>
          <w:rFonts w:ascii="Arial" w:cs="Arial" w:eastAsia="Arial" w:hAnsi="Arial"/>
          <w:rtl w:val="0"/>
        </w:rPr>
        <w:t xml:space="preserve">Republic Act No.10742, as amended by Republic Act No. 11768,</w:t>
      </w:r>
      <w:r w:rsidDel="00000000" w:rsidR="00000000" w:rsidRPr="00000000">
        <w:rPr>
          <w:rFonts w:ascii="Arial" w:cs="Arial" w:eastAsia="Arial" w:hAnsi="Arial"/>
          <w:rtl w:val="0"/>
        </w:rPr>
        <w:t xml:space="preserve"> are mandated to coordinate youth programs, support youth organizations, and facilitate youth participation in local governance. These responsibilities necessitate organized and centralized information management practices to support planning, implementation, and evaluation of youth-related initiatives, including proper tracking of participation and program outcomes.</w:t>
      </w:r>
    </w:p>
    <w:p w:rsidR="00000000" w:rsidDel="00000000" w:rsidP="00000000" w:rsidRDefault="00000000" w:rsidRPr="00000000" w14:paraId="0000002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However, current e-governance practices in many LYDOs rely on fragmented tools such as social media platforms, manual documentation, and third-party tools (Google Forms, Google Drive, etc.). These approaches do not provide an integrated system for managing youth-related data, resulting in inconsistent information dissemination, difficulty in consolidating participation records, and limited accessibility to transparency-related information. For example, participation records are often stored in separate files, making it difficult to generate timely and accurate reports. The absence of a centralized platform constrains the ability of LYDOs to systematically monitor youth participation and maintain organized records for reporting and accountability.</w:t>
      </w:r>
    </w:p>
    <w:p w:rsidR="00000000" w:rsidDel="00000000" w:rsidP="00000000" w:rsidRDefault="00000000" w:rsidRPr="00000000" w14:paraId="0000002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In response to these challenges, this study proposes the development of a Progressive Web Application for Information, Participation, and Transparency for Local Youth Development Offices in Metro Manila. The proposed system is intended to centralize youth program information, support participation monitoring, and provide accessible transparency records through a unified digital platform. The use of a Progressive Web Application allows the system to be accessible across devices, ensuring a wider reach among users while minimizing deployment constraints. By integrating these functions, the system aims to improve information accessibility, enhance administrative efficiency, and strengthen transparency in youth governance. It is expected to support more efficient reporting, better monitoring of youth participation, and improved access to public information.</w:t>
      </w:r>
    </w:p>
    <w:p w:rsidR="00000000" w:rsidDel="00000000" w:rsidP="00000000" w:rsidRDefault="00000000" w:rsidRPr="00000000" w14:paraId="0000002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development of the proposed system aligns with the objectives of the Bachelor of Science in Information Technology (BSIT) program by applying principles of system design, software development, and information management to address real-world governance challenges. Moreover, it reinforces the mission of the Polytechnic University of the Philippines (PUP) in advancing technology-driven solutions that contribute to community development and enhance the delivery of public services, particularly in promoting inclusive participation and transparent governance at the local level.</w:t>
      </w:r>
    </w:p>
    <w:p w:rsidR="00000000" w:rsidDel="00000000" w:rsidP="00000000" w:rsidRDefault="00000000" w:rsidRPr="00000000" w14:paraId="00000029">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STATEMENT OF THE PROBLEM</w:t>
      </w:r>
      <w:r w:rsidDel="00000000" w:rsidR="00000000" w:rsidRPr="00000000">
        <w:rPr>
          <w:rtl w:val="0"/>
        </w:rPr>
      </w:r>
    </w:p>
    <w:p w:rsidR="00000000" w:rsidDel="00000000" w:rsidP="00000000" w:rsidRDefault="00000000" w:rsidRPr="00000000" w14:paraId="0000002C">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As mandated under </w:t>
      </w:r>
      <w:r w:rsidDel="00000000" w:rsidR="00000000" w:rsidRPr="00000000">
        <w:rPr>
          <w:rFonts w:ascii="Arial" w:cs="Arial" w:eastAsia="Arial" w:hAnsi="Arial"/>
          <w:rtl w:val="0"/>
        </w:rPr>
        <w:t xml:space="preserve">Republic Act No.</w:t>
      </w:r>
      <w:r w:rsidDel="00000000" w:rsidR="00000000" w:rsidRPr="00000000">
        <w:rPr>
          <w:rFonts w:ascii="Arial" w:cs="Arial" w:eastAsia="Arial" w:hAnsi="Arial"/>
          <w:rtl w:val="0"/>
        </w:rPr>
        <w:t xml:space="preserve"> 10742, the Local Youth Development Offices (LYDOs) play a critical role in empowering youth and delivering youth development programs at the local level. However, the absence of a centralized digital platform (OECD, 2023; Oroña-Cabagay et al., 2025) has contributed to persistent operational gaps that affect their effectiveness across three (3) key areas.</w:t>
      </w:r>
    </w:p>
    <w:p w:rsidR="00000000" w:rsidDel="00000000" w:rsidP="00000000" w:rsidRDefault="00000000" w:rsidRPr="00000000" w14:paraId="0000002D">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First, access to official information remains fragmented and inconsistent. Many LYDOs in Metro Manila rely on social media platforms as a primary channel for disseminating announcements, programs, and services. While social media offers accessibility and broad reach, these platforms do not always provide centralized, standardized, and easily verifiable access to official information (Mao &amp; Zhu, 2025; Villodre, 2024). </w:t>
      </w:r>
    </w:p>
    <w:p w:rsidR="00000000" w:rsidDel="00000000" w:rsidP="00000000" w:rsidRDefault="00000000" w:rsidRPr="00000000" w14:paraId="0000002F">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Second, existing mechanisms for monitoring youth participation and program outcomes remain fragmented across platforms and processes. Current practices rely on separate digital tools and manual data consolidation, limiting the capacity of LYDOs to collect, manage, and analyze participation data effectively. Without a dedicated system to track participation trends and measure the impact of youth programs, LYDOs have limited capacity to identify the factors that drive or hinder youth participation, which constrains data-informed decision-making and program improvement (Augsberger et al., 2017; Barrios &amp; Moreno, 2024; Valenzuela, 2025).</w:t>
      </w:r>
    </w:p>
    <w:p w:rsidR="00000000" w:rsidDel="00000000" w:rsidP="00000000" w:rsidRDefault="00000000" w:rsidRPr="00000000" w14:paraId="00000031">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Third, </w:t>
      </w:r>
      <w:r w:rsidDel="00000000" w:rsidR="00000000" w:rsidRPr="00000000">
        <w:rPr>
          <w:rFonts w:ascii="Arial" w:cs="Arial" w:eastAsia="Arial" w:hAnsi="Arial"/>
          <w:rtl w:val="0"/>
        </w:rPr>
        <w:t xml:space="preserve">transparency remains limited due to the absence of centralized platforms where the public can access youth-related announcements, compliance records, reports, service information, and other relevant LYDO data</w:t>
      </w:r>
      <w:r w:rsidDel="00000000" w:rsidR="00000000" w:rsidRPr="00000000">
        <w:rPr>
          <w:rFonts w:ascii="Arial" w:cs="Arial" w:eastAsia="Arial" w:hAnsi="Arial"/>
          <w:rtl w:val="0"/>
        </w:rPr>
        <w:t xml:space="preserve">. As public offices, LYDOs are expected to make government information accessible to </w:t>
      </w:r>
      <w:r w:rsidDel="00000000" w:rsidR="00000000" w:rsidRPr="00000000">
        <w:rPr>
          <w:rFonts w:ascii="Arial" w:cs="Arial" w:eastAsia="Arial" w:hAnsi="Arial"/>
          <w:rtl w:val="0"/>
        </w:rPr>
        <w:t xml:space="preserve">citizens, especially young people (Oroña-Cabagay et al., 2025)</w:t>
      </w:r>
      <w:r w:rsidDel="00000000" w:rsidR="00000000" w:rsidRPr="00000000">
        <w:rPr>
          <w:rFonts w:ascii="Arial" w:cs="Arial" w:eastAsia="Arial" w:hAnsi="Arial"/>
          <w:rtl w:val="0"/>
        </w:rPr>
        <w:t xml:space="preserve">. Yet many offices lack a centralized platform through which the public can access relevant announcements, programs, and services, which may weaken accountability and public trust.</w:t>
      </w:r>
    </w:p>
    <w:p w:rsidR="00000000" w:rsidDel="00000000" w:rsidP="00000000" w:rsidRDefault="00000000" w:rsidRPr="00000000" w14:paraId="00000033">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Taken together, these gaps reflect a broader problem: LYDOs often operate through fragmented digital platforms and manual processes that make consistent coordination, information access, and youth participation monitoring difficult. This underscores the need for a centralized digital platform developed as a progressive web application that can consolidate information dissemination, support the monitoring of youth participation and program outcomes, and strengthen transparency for the public.</w:t>
      </w:r>
    </w:p>
    <w:p w:rsidR="00000000" w:rsidDel="00000000" w:rsidP="00000000" w:rsidRDefault="00000000" w:rsidRPr="00000000" w14:paraId="00000035">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To address the aforementioned problems, this study seeks to answer the following questions:</w:t>
      </w:r>
    </w:p>
    <w:p w:rsidR="00000000" w:rsidDel="00000000" w:rsidP="00000000" w:rsidRDefault="00000000" w:rsidRPr="00000000" w14:paraId="00000037">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can a centralized digital platform improve the accessibility, </w:t>
      </w:r>
      <w:r w:rsidDel="00000000" w:rsidR="00000000" w:rsidRPr="00000000">
        <w:rPr>
          <w:rFonts w:ascii="Arial" w:cs="Arial" w:eastAsia="Arial" w:hAnsi="Arial"/>
          <w:rtl w:val="0"/>
        </w:rPr>
        <w:t xml:space="preserve">consistency</w:t>
      </w:r>
      <w:r w:rsidDel="00000000" w:rsidR="00000000" w:rsidRPr="00000000">
        <w:rPr>
          <w:rFonts w:ascii="Arial" w:cs="Arial" w:eastAsia="Arial" w:hAnsi="Arial"/>
          <w:rtl w:val="0"/>
        </w:rPr>
        <w:t xml:space="preserve">, and organization of youth-related information and services for the Local Youth Development Offices (LYDOs)?</w:t>
      </w:r>
      <w:r w:rsidDel="00000000" w:rsidR="00000000" w:rsidRPr="00000000">
        <w:rPr>
          <w:rtl w:val="0"/>
        </w:rPr>
      </w:r>
    </w:p>
    <w:p w:rsidR="00000000" w:rsidDel="00000000" w:rsidP="00000000" w:rsidRDefault="00000000" w:rsidRPr="00000000" w14:paraId="00000038">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can the system monitor youth participation and program outcomes to evaluate the effectiveness of LYDO services?</w:t>
      </w:r>
    </w:p>
    <w:p w:rsidR="00000000" w:rsidDel="00000000" w:rsidP="00000000" w:rsidRDefault="00000000" w:rsidRPr="00000000" w14:paraId="00000039">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can the system support data analysis to inform planning and decision-making for LYDO services?</w:t>
      </w:r>
    </w:p>
    <w:p w:rsidR="00000000" w:rsidDel="00000000" w:rsidP="00000000" w:rsidRDefault="00000000" w:rsidRPr="00000000" w14:paraId="0000003A">
      <w:pPr>
        <w:numPr>
          <w:ilvl w:val="0"/>
          <w:numId w:val="3"/>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How can the system enhance transparency and accountability in the delivery, monitoring, and reporting of LYDO services?</w:t>
      </w:r>
    </w:p>
    <w:p w:rsidR="00000000" w:rsidDel="00000000" w:rsidP="00000000" w:rsidRDefault="00000000" w:rsidRPr="00000000" w14:paraId="0000003B">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can the system be designed to ensure ease of use for LYDO staff and youth users?</w:t>
      </w:r>
    </w:p>
    <w:p w:rsidR="00000000" w:rsidDel="00000000" w:rsidP="00000000" w:rsidRDefault="00000000" w:rsidRPr="00000000" w14:paraId="0000003C">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can the system ensure secure storage and handling of youth data while maintaining user privacy?</w:t>
      </w:r>
      <w:r w:rsidDel="00000000" w:rsidR="00000000" w:rsidRPr="00000000">
        <w:rPr>
          <w:rtl w:val="0"/>
        </w:rPr>
      </w:r>
    </w:p>
    <w:p w:rsidR="00000000" w:rsidDel="00000000" w:rsidP="00000000" w:rsidRDefault="00000000" w:rsidRPr="00000000" w14:paraId="0000003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Figure 1. Fishbone Diagram </w:t>
      </w:r>
      <w:r w:rsidDel="00000000" w:rsidR="00000000" w:rsidRPr="00000000">
        <w:rPr>
          <w:rtl w:val="0"/>
        </w:rPr>
      </w:r>
    </w:p>
    <w:p w:rsidR="00000000" w:rsidDel="00000000" w:rsidP="00000000" w:rsidRDefault="00000000" w:rsidRPr="00000000" w14:paraId="0000003F">
      <w:pPr>
        <w:spacing w:after="0" w:lineRule="auto"/>
        <w:jc w:val="center"/>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943600" cy="2834190"/>
                <wp:effectExtent b="0" l="0" r="0" t="0"/>
                <wp:docPr id="2145285088" name=""/>
                <a:graphic>
                  <a:graphicData uri="http://schemas.microsoft.com/office/word/2010/wordprocessingGroup">
                    <wpg:wgp>
                      <wpg:cNvGrpSpPr/>
                      <wpg:grpSpPr>
                        <a:xfrm>
                          <a:off x="0" y="510375"/>
                          <a:ext cx="5943600" cy="2834190"/>
                          <a:chOff x="0" y="510375"/>
                          <a:chExt cx="9673200" cy="4601575"/>
                        </a:xfrm>
                      </wpg:grpSpPr>
                      <wps:wsp>
                        <wps:cNvCnPr/>
                        <wps:spPr>
                          <a:xfrm>
                            <a:off x="1992389" y="1081200"/>
                            <a:ext cx="1196700" cy="184560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flipH="1" rot="10800000">
                            <a:off x="1992515" y="2931895"/>
                            <a:ext cx="1191300" cy="184230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4318911" y="1084209"/>
                            <a:ext cx="1284300" cy="184380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flipH="1" rot="10800000">
                            <a:off x="4318966" y="2925887"/>
                            <a:ext cx="1270200" cy="184530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6719206" y="1081200"/>
                            <a:ext cx="1297800" cy="185130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flipH="1" rot="10800000">
                            <a:off x="6719374" y="2929320"/>
                            <a:ext cx="1284300" cy="184200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12948" y="2927753"/>
                            <a:ext cx="8321700" cy="0"/>
                          </a:xfrm>
                          <a:prstGeom prst="straightConnector1">
                            <a:avLst/>
                          </a:prstGeom>
                          <a:noFill/>
                          <a:ln cap="flat" cmpd="sng" w="2027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SpPr txBox="1"/>
                        <wps:cNvPr id="16" name="Shape 16"/>
                        <wps:spPr>
                          <a:xfrm>
                            <a:off x="154400" y="1162725"/>
                            <a:ext cx="17805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Over-reliance on social media for official communication (Villodre, 2024)</w:t>
                              </w:r>
                            </w:p>
                          </w:txbxContent>
                        </wps:txbx>
                        <wps:bodyPr anchorCtr="0" anchor="t" bIns="97375" lIns="97375" spcFirstLastPara="1" rIns="97375" wrap="square" tIns="97375">
                          <a:spAutoFit/>
                        </wps:bodyPr>
                      </wps:wsp>
                      <wps:wsp>
                        <wps:cNvSpPr txBox="1"/>
                        <wps:cNvPr id="17" name="Shape 17"/>
                        <wps:spPr>
                          <a:xfrm>
                            <a:off x="142700" y="3547425"/>
                            <a:ext cx="19827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Informal and unverified information dissemination through social media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(Villodre, 2024)</w:t>
                              </w:r>
                            </w:p>
                          </w:txbxContent>
                        </wps:txbx>
                        <wps:bodyPr anchorCtr="0" anchor="t" bIns="97375" lIns="97375" spcFirstLastPara="1" rIns="97375" wrap="square" tIns="97375">
                          <a:spAutoFit/>
                        </wps:bodyPr>
                      </wps:wsp>
                      <wps:wsp>
                        <wps:cNvSpPr txBox="1"/>
                        <wps:cNvPr id="18" name="Shape 18"/>
                        <wps:spPr>
                          <a:xfrm>
                            <a:off x="2319075" y="1024125"/>
                            <a:ext cx="1970100" cy="75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Limited metrics to track youth engagement or program outcomes (Augsberger et al., 2017; Valenzuela, 2025)</w:t>
                              </w:r>
                            </w:p>
                          </w:txbxContent>
                        </wps:txbx>
                        <wps:bodyPr anchorCtr="0" anchor="t" bIns="97375" lIns="97375" spcFirstLastPara="1" rIns="97375" wrap="square" tIns="97375">
                          <a:spAutoFit/>
                        </wps:bodyPr>
                      </wps:wsp>
                      <wps:wsp>
                        <wps:cNvSpPr txBox="1"/>
                        <wps:cNvPr id="19" name="Shape 19"/>
                        <wps:spPr>
                          <a:xfrm>
                            <a:off x="2982250" y="1831142"/>
                            <a:ext cx="1298700" cy="32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7375" lIns="97375" spcFirstLastPara="1" rIns="97375" wrap="square" tIns="97375">
                          <a:spAutoFit/>
                        </wps:bodyPr>
                      </wps:wsp>
                      <wps:wsp>
                        <wps:cNvSpPr txBox="1"/>
                        <wps:cNvPr id="20" name="Shape 20"/>
                        <wps:spPr>
                          <a:xfrm>
                            <a:off x="4975157" y="1162721"/>
                            <a:ext cx="16482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Non-integrated workflows for program management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(Valenzuela, 2025)</w:t>
                              </w:r>
                            </w:p>
                          </w:txbxContent>
                        </wps:txbx>
                        <wps:bodyPr anchorCtr="0" anchor="t" bIns="97375" lIns="97375" spcFirstLastPara="1" rIns="97375" wrap="square" tIns="97375">
                          <a:spAutoFit/>
                        </wps:bodyPr>
                      </wps:wsp>
                      <wps:wsp>
                        <wps:cNvSpPr txBox="1"/>
                        <wps:cNvPr id="21" name="Shape 21"/>
                        <wps:spPr>
                          <a:xfrm>
                            <a:off x="5321095" y="1752838"/>
                            <a:ext cx="18393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ICT not used to </w:t>
                              </w:r>
                              <w:r w:rsidDel="00000000" w:rsidR="00000000" w:rsidRPr="00000000">
                                <w:rPr>
                                  <w:rFonts w:ascii="Arial" w:cs="Arial" w:eastAsia="Arial" w:hAnsi="Arial"/>
                                  <w:b w:val="0"/>
                                  <w:i w:val="0"/>
                                  <w:smallCaps w:val="0"/>
                                  <w:strike w:val="0"/>
                                  <w:color w:val="000000"/>
                                  <w:sz w:val="18"/>
                                  <w:vertAlign w:val="baseline"/>
                                </w:rPr>
                                <w:t xml:space="preserve">strengthen</w:t>
                              </w:r>
                              <w:r w:rsidDel="00000000" w:rsidR="00000000" w:rsidRPr="00000000">
                                <w:rPr>
                                  <w:rFonts w:ascii="Arial" w:cs="Arial" w:eastAsia="Arial" w:hAnsi="Arial"/>
                                  <w:b w:val="0"/>
                                  <w:i w:val="0"/>
                                  <w:smallCaps w:val="0"/>
                                  <w:strike w:val="0"/>
                                  <w:color w:val="000000"/>
                                  <w:sz w:val="18"/>
                                  <w:vertAlign w:val="baseline"/>
                                </w:rPr>
                                <w:t xml:space="preserve"> transparency and accountability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(Ong &amp; Gabriel, 2018)</w:t>
                              </w:r>
                            </w:p>
                          </w:txbxContent>
                        </wps:txbx>
                        <wps:bodyPr anchorCtr="0" anchor="t" bIns="97375" lIns="97375" spcFirstLastPara="1" rIns="97375" wrap="square" tIns="97375">
                          <a:spAutoFit/>
                        </wps:bodyPr>
                      </wps:wsp>
                      <wps:wsp>
                        <wps:cNvSpPr txBox="1"/>
                        <wps:cNvPr id="22" name="Shape 22"/>
                        <wps:spPr>
                          <a:xfrm>
                            <a:off x="55401" y="3033950"/>
                            <a:ext cx="2042700" cy="47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Inconsistent records due to manual documentation (Valenzuela, 2025)</w:t>
                              </w:r>
                            </w:p>
                          </w:txbxContent>
                        </wps:txbx>
                        <wps:bodyPr anchorCtr="0" anchor="t" bIns="97375" lIns="97375" spcFirstLastPara="1" rIns="97375" wrap="square" tIns="97375">
                          <a:spAutoFit/>
                        </wps:bodyPr>
                      </wps:wsp>
                      <wps:wsp>
                        <wps:cNvSpPr txBox="1"/>
                        <wps:cNvPr id="23" name="Shape 23"/>
                        <wps:spPr>
                          <a:xfrm>
                            <a:off x="2485025" y="3980925"/>
                            <a:ext cx="17676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Low youth awareness due to poor communication channels (Castillo et al., 2024)</w:t>
                              </w:r>
                            </w:p>
                          </w:txbxContent>
                        </wps:txbx>
                        <wps:bodyPr anchorCtr="0" anchor="t" bIns="97375" lIns="97375" spcFirstLastPara="1" rIns="97375" wrap="square" tIns="97375">
                          <a:spAutoFit/>
                        </wps:bodyPr>
                      </wps:wsp>
                      <wps:wsp>
                        <wps:cNvSpPr txBox="1"/>
                        <wps:cNvPr id="24" name="Shape 24"/>
                        <wps:spPr>
                          <a:xfrm>
                            <a:off x="2875975" y="3435475"/>
                            <a:ext cx="16170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Adult-dominated structures limiting youth participation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(Augsberger et al., 2017)</w:t>
                              </w:r>
                            </w:p>
                          </w:txbxContent>
                        </wps:txbx>
                        <wps:bodyPr anchorCtr="0" anchor="t" bIns="97375" lIns="97375" spcFirstLastPara="1" rIns="97375" wrap="square" tIns="97375">
                          <a:spAutoFit/>
                        </wps:bodyPr>
                      </wps:wsp>
                      <wps:wsp>
                        <wps:cNvSpPr txBox="1"/>
                        <wps:cNvPr id="25" name="Shape 25"/>
                        <wps:spPr>
                          <a:xfrm>
                            <a:off x="3247315" y="2961003"/>
                            <a:ext cx="1780500" cy="47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Resistance to digital adoption (OroÑa-Cabagay et al., 2025)</w:t>
                              </w:r>
                            </w:p>
                          </w:txbxContent>
                        </wps:txbx>
                        <wps:bodyPr anchorCtr="0" anchor="t" bIns="97375" lIns="97375" spcFirstLastPara="1" rIns="97375" wrap="square" tIns="97375">
                          <a:spAutoFit/>
                        </wps:bodyPr>
                      </wps:wsp>
                      <wps:wsp>
                        <wps:cNvSpPr txBox="1"/>
                        <wps:cNvPr id="26" name="Shape 26"/>
                        <wps:spPr>
                          <a:xfrm>
                            <a:off x="5539975" y="2291575"/>
                            <a:ext cx="19827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 system for tracking participation and collecting feedback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(Augsberger et al., 2017)</w:t>
                              </w:r>
                            </w:p>
                          </w:txbxContent>
                        </wps:txbx>
                        <wps:bodyPr anchorCtr="0" anchor="t" bIns="97375" lIns="97375" spcFirstLastPara="1" rIns="97375" wrap="square" tIns="97375">
                          <a:spAutoFit/>
                        </wps:bodyPr>
                      </wps:wsp>
                      <wps:wsp>
                        <wps:cNvSpPr txBox="1"/>
                        <wps:cNvPr id="27" name="Shape 27"/>
                        <wps:spPr>
                          <a:xfrm>
                            <a:off x="-64100" y="4199500"/>
                            <a:ext cx="18999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 centralized youth profiling system (Augsberger et al., 2017; Valenzuela, 2025) </w:t>
                              </w:r>
                            </w:p>
                          </w:txbxContent>
                        </wps:txbx>
                        <wps:bodyPr anchorCtr="0" anchor="t" bIns="97375" lIns="97375" spcFirstLastPara="1" rIns="97375" wrap="square" tIns="97375">
                          <a:spAutoFit/>
                        </wps:bodyPr>
                      </wps:wsp>
                      <wps:wsp>
                        <wps:cNvSpPr txBox="1"/>
                        <wps:cNvPr id="28" name="Shape 28"/>
                        <wps:spPr>
                          <a:xfrm>
                            <a:off x="5557500" y="2922700"/>
                            <a:ext cx="1899900" cy="47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Digital divide limiting equitable access (Barrios &amp; Moreno, 2024)</w:t>
                              </w:r>
                            </w:p>
                          </w:txbxContent>
                        </wps:txbx>
                        <wps:bodyPr anchorCtr="0" anchor="t" bIns="97375" lIns="97375" spcFirstLastPara="1" rIns="97375" wrap="square" tIns="97375">
                          <a:spAutoFit/>
                        </wps:bodyPr>
                      </wps:wsp>
                      <wps:wsp>
                        <wps:cNvSpPr txBox="1"/>
                        <wps:cNvPr id="29" name="Shape 29"/>
                        <wps:spPr>
                          <a:xfrm>
                            <a:off x="184098" y="1741389"/>
                            <a:ext cx="18999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Fragmented </w:t>
                              </w:r>
                              <w:r w:rsidDel="00000000" w:rsidR="00000000" w:rsidRPr="00000000">
                                <w:rPr>
                                  <w:rFonts w:ascii="Arial" w:cs="Arial" w:eastAsia="Arial" w:hAnsi="Arial"/>
                                  <w:b w:val="0"/>
                                  <w:i w:val="0"/>
                                  <w:smallCaps w:val="0"/>
                                  <w:strike w:val="0"/>
                                  <w:color w:val="000000"/>
                                  <w:sz w:val="18"/>
                                  <w:vertAlign w:val="baseline"/>
                                </w:rPr>
                                <w:t xml:space="preserve">digital platform  for youth governance</w:t>
                              </w:r>
                              <w:r w:rsidDel="00000000" w:rsidR="00000000" w:rsidRPr="00000000">
                                <w:rPr>
                                  <w:rFonts w:ascii="Arial" w:cs="Arial" w:eastAsia="Arial" w:hAnsi="Arial"/>
                                  <w:b w:val="0"/>
                                  <w:i w:val="0"/>
                                  <w:smallCaps w:val="0"/>
                                  <w:strike w:val="0"/>
                                  <w:color w:val="000000"/>
                                  <w:sz w:val="18"/>
                                  <w:vertAlign w:val="baseline"/>
                                </w:rPr>
                                <w:t xml:space="preserve"> (OECD, 2023; </w:t>
                              </w:r>
                              <w:r w:rsidDel="00000000" w:rsidR="00000000" w:rsidRPr="00000000">
                                <w:rPr>
                                  <w:rFonts w:ascii="Arial" w:cs="Arial" w:eastAsia="Arial" w:hAnsi="Arial"/>
                                  <w:b w:val="0"/>
                                  <w:i w:val="0"/>
                                  <w:smallCaps w:val="0"/>
                                  <w:strike w:val="0"/>
                                  <w:color w:val="000000"/>
                                  <w:sz w:val="18"/>
                                  <w:vertAlign w:val="baseline"/>
                                </w:rPr>
                                <w:t xml:space="preserve">OroÑa-Cabagay et al., 2025</w:t>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7375" lIns="97375" spcFirstLastPara="1" rIns="97375" wrap="square" tIns="97375">
                          <a:spAutoFit/>
                        </wps:bodyPr>
                      </wps:wsp>
                      <wps:wsp>
                        <wps:cNvSpPr txBox="1"/>
                        <wps:cNvPr id="30" name="Shape 30"/>
                        <wps:spPr>
                          <a:xfrm>
                            <a:off x="253323" y="2299104"/>
                            <a:ext cx="17805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Fragmented use of third-party tools (Mao &amp; Zhu, 2025; </w:t>
                              </w:r>
                              <w:r w:rsidDel="00000000" w:rsidR="00000000" w:rsidRPr="00000000">
                                <w:rPr>
                                  <w:rFonts w:ascii="Arial" w:cs="Arial" w:eastAsia="Arial" w:hAnsi="Arial"/>
                                  <w:b w:val="0"/>
                                  <w:i w:val="0"/>
                                  <w:smallCaps w:val="0"/>
                                  <w:strike w:val="0"/>
                                  <w:color w:val="000000"/>
                                  <w:sz w:val="18"/>
                                  <w:vertAlign w:val="baseline"/>
                                </w:rPr>
                                <w:t xml:space="preserve">Barrios &amp; Moreno, 2024</w:t>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7375" lIns="97375" spcFirstLastPara="1" rIns="97375" wrap="square" tIns="97375">
                          <a:spAutoFit/>
                        </wps:bodyPr>
                      </wps:wsp>
                      <wps:wsp>
                        <wps:cNvSpPr txBox="1"/>
                        <wps:cNvPr id="31" name="Shape 31"/>
                        <wps:spPr>
                          <a:xfrm>
                            <a:off x="2812312" y="1670601"/>
                            <a:ext cx="17805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 analytics or reporting tools for decision-making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(Barrios &amp; Moreno, 2024)</w:t>
                              </w:r>
                            </w:p>
                          </w:txbxContent>
                        </wps:txbx>
                        <wps:bodyPr anchorCtr="0" anchor="t" bIns="97375" lIns="97375" spcFirstLastPara="1" rIns="97375" wrap="square" tIns="97375">
                          <a:spAutoFit/>
                        </wps:bodyPr>
                      </wps:wsp>
                      <wps:wsp>
                        <wps:cNvSpPr txBox="1"/>
                        <wps:cNvPr id="32" name="Shape 32"/>
                        <wps:spPr>
                          <a:xfrm>
                            <a:off x="3148175" y="2167013"/>
                            <a:ext cx="1899900" cy="75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 transparency tracking and reporting mechanism (Barrios &amp; Moreno, 2024; </w:t>
                              </w:r>
                              <w:r w:rsidDel="00000000" w:rsidR="00000000" w:rsidRPr="00000000">
                                <w:rPr>
                                  <w:rFonts w:ascii="Arial" w:cs="Arial" w:eastAsia="Arial" w:hAnsi="Arial"/>
                                  <w:b w:val="0"/>
                                  <w:i w:val="0"/>
                                  <w:smallCaps w:val="0"/>
                                  <w:strike w:val="0"/>
                                  <w:color w:val="000000"/>
                                  <w:sz w:val="18"/>
                                  <w:vertAlign w:val="baseline"/>
                                </w:rPr>
                                <w:t xml:space="preserve">OroÑa-Cabagay et al., 2025)</w:t>
                              </w:r>
                            </w:p>
                          </w:txbxContent>
                        </wps:txbx>
                        <wps:bodyPr anchorCtr="0" anchor="t" bIns="97375" lIns="97375" spcFirstLastPara="1" rIns="97375" wrap="square" tIns="97375">
                          <a:spAutoFit/>
                        </wps:bodyPr>
                      </wps:wsp>
                      <wps:wsp>
                        <wps:cNvSpPr txBox="1"/>
                        <wps:cNvPr id="33" name="Shape 33"/>
                        <wps:spPr>
                          <a:xfrm>
                            <a:off x="5221350" y="3355975"/>
                            <a:ext cx="1686000" cy="47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Data privacy and security concerns (Kiram et al., 2024)</w:t>
                              </w:r>
                            </w:p>
                          </w:txbxContent>
                        </wps:txbx>
                        <wps:bodyPr anchorCtr="0" anchor="t" bIns="97375" lIns="97375" spcFirstLastPara="1" rIns="97375" wrap="square" tIns="97375">
                          <a:spAutoFit/>
                        </wps:bodyPr>
                      </wps:wsp>
                      <wps:wsp>
                        <wps:cNvSpPr txBox="1"/>
                        <wps:cNvPr id="34" name="Shape 34"/>
                        <wps:spPr>
                          <a:xfrm>
                            <a:off x="4997335" y="3826716"/>
                            <a:ext cx="1804200" cy="47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Social media misinformation risks (Villodre, 2024)</w:t>
                              </w:r>
                            </w:p>
                          </w:txbxContent>
                        </wps:txbx>
                        <wps:bodyPr anchorCtr="0" anchor="t" bIns="97375" lIns="97375" spcFirstLastPara="1" rIns="97375" wrap="square" tIns="97375">
                          <a:spAutoFit/>
                        </wps:bodyPr>
                      </wps:wsp>
                      <wps:wsp>
                        <wps:cNvSpPr txBox="1"/>
                        <wps:cNvPr id="35" name="Shape 35"/>
                        <wps:spPr>
                          <a:xfrm>
                            <a:off x="4711600" y="4232375"/>
                            <a:ext cx="1717200" cy="61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Lack of standardized digital practices (Mao &amp; Zhu, 2025; OECD, 2023)</w:t>
                              </w:r>
                            </w:p>
                          </w:txbxContent>
                        </wps:txbx>
                        <wps:bodyPr anchorCtr="0" anchor="t" bIns="97375" lIns="97375" spcFirstLastPara="1" rIns="97375" wrap="square" tIns="97375">
                          <a:spAutoFit/>
                        </wps:bodyPr>
                      </wps:wsp>
                      <wps:wsp>
                        <wps:cNvCnPr/>
                        <wps:spPr>
                          <a:xfrm>
                            <a:off x="1934900" y="1468875"/>
                            <a:ext cx="3054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flipH="1" rot="10800000">
                            <a:off x="2083998" y="2034039"/>
                            <a:ext cx="520200" cy="1350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2033823" y="2605254"/>
                            <a:ext cx="9273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2098101" y="3270800"/>
                            <a:ext cx="8322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2125400" y="3853575"/>
                            <a:ext cx="4587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1835800" y="4505650"/>
                            <a:ext cx="3453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5027815" y="3197853"/>
                            <a:ext cx="3771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4492975" y="3741625"/>
                            <a:ext cx="5184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4252625" y="4287075"/>
                            <a:ext cx="4038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4289175" y="1399575"/>
                            <a:ext cx="2448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4592812" y="1976751"/>
                            <a:ext cx="3474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5048075" y="2542463"/>
                            <a:ext cx="2733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6623357" y="1468871"/>
                            <a:ext cx="3690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7160395" y="2058988"/>
                            <a:ext cx="2445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7522675" y="2597725"/>
                            <a:ext cx="2613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7457400" y="3159550"/>
                            <a:ext cx="3804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6907350" y="3592825"/>
                            <a:ext cx="6288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6801535" y="4063566"/>
                            <a:ext cx="4062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CnPr/>
                        <wps:spPr>
                          <a:xfrm>
                            <a:off x="6428800" y="4538525"/>
                            <a:ext cx="465900" cy="0"/>
                          </a:xfrm>
                          <a:prstGeom prst="straightConnector1">
                            <a:avLst/>
                          </a:prstGeom>
                          <a:noFill/>
                          <a:ln cap="flat" cmpd="sng" w="10125">
                            <a:solidFill>
                              <a:srgbClr val="000000"/>
                            </a:solidFill>
                            <a:prstDash val="solid"/>
                            <a:round/>
                            <a:headEnd len="med" w="med" type="none"/>
                            <a:tailEnd len="med" w="med" type="triangle"/>
                          </a:ln>
                        </wps:spPr>
                        <wps:bodyPr anchorCtr="0" anchor="ctr" bIns="97375" lIns="97375" spcFirstLastPara="1" rIns="97375" wrap="square" tIns="97375">
                          <a:noAutofit/>
                        </wps:bodyPr>
                      </wps:wsp>
                      <wps:wsp>
                        <wps:cNvSpPr/>
                        <wps:cNvPr id="15" name="Shape 15"/>
                        <wps:spPr>
                          <a:xfrm>
                            <a:off x="8334648" y="2005403"/>
                            <a:ext cx="1328400" cy="18447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Lack of a centralized digital platform hindering information access, youth participation, and operational transparency in LYDO</w:t>
                              </w:r>
                            </w:p>
                          </w:txbxContent>
                        </wps:txbx>
                        <wps:bodyPr anchorCtr="0" anchor="ctr" bIns="97375" lIns="97375" spcFirstLastPara="1" rIns="97375" wrap="square" tIns="97375">
                          <a:noAutofit/>
                        </wps:bodyPr>
                      </wps:wsp>
                      <wps:wsp>
                        <wps:cNvSpPr/>
                        <wps:cNvPr id="3" name="Shape 3"/>
                        <wps:spPr>
                          <a:xfrm>
                            <a:off x="1624589" y="753600"/>
                            <a:ext cx="735600" cy="3276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81999969482422"/>
                                  <w:vertAlign w:val="baseline"/>
                                </w:rPr>
                                <w:t xml:space="preserve">Tools</w:t>
                              </w:r>
                            </w:p>
                          </w:txbxContent>
                        </wps:txbx>
                        <wps:bodyPr anchorCtr="0" anchor="ctr" bIns="97375" lIns="97375" spcFirstLastPara="1" rIns="97375" wrap="square" tIns="97375">
                          <a:noAutofit/>
                        </wps:bodyPr>
                      </wps:wsp>
                      <wps:wsp>
                        <wps:cNvSpPr/>
                        <wps:cNvPr id="7" name="Shape 7"/>
                        <wps:spPr>
                          <a:xfrm>
                            <a:off x="3720561" y="756609"/>
                            <a:ext cx="1196700" cy="3276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81999969482422"/>
                                  <w:vertAlign w:val="baseline"/>
                                </w:rPr>
                                <w:t xml:space="preserve">Monitoring</w:t>
                              </w:r>
                            </w:p>
                          </w:txbxContent>
                        </wps:txbx>
                        <wps:bodyPr anchorCtr="0" anchor="ctr" bIns="97375" lIns="97375" spcFirstLastPara="1" rIns="97375" wrap="square" tIns="97375">
                          <a:noAutofit/>
                        </wps:bodyPr>
                      </wps:wsp>
                      <wps:wsp>
                        <wps:cNvSpPr/>
                        <wps:cNvPr id="11" name="Shape 11"/>
                        <wps:spPr>
                          <a:xfrm>
                            <a:off x="6120856" y="753600"/>
                            <a:ext cx="1196700" cy="3276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81999969482422"/>
                                  <w:vertAlign w:val="baseline"/>
                                </w:rPr>
                                <w:t xml:space="preserve">Processes</w:t>
                              </w:r>
                            </w:p>
                          </w:txbxContent>
                        </wps:txbx>
                        <wps:bodyPr anchorCtr="0" anchor="ctr" bIns="97375" lIns="97375" spcFirstLastPara="1" rIns="97375" wrap="square" tIns="97375">
                          <a:noAutofit/>
                        </wps:bodyPr>
                      </wps:wsp>
                      <wps:wsp>
                        <wps:cNvSpPr/>
                        <wps:cNvPr id="5" name="Shape 5"/>
                        <wps:spPr>
                          <a:xfrm>
                            <a:off x="1665965" y="4774195"/>
                            <a:ext cx="653100" cy="3276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81999969482422"/>
                                  <w:vertAlign w:val="baseline"/>
                                </w:rPr>
                                <w:t xml:space="preserve">Data</w:t>
                              </w:r>
                            </w:p>
                          </w:txbxContent>
                        </wps:txbx>
                        <wps:bodyPr anchorCtr="0" anchor="ctr" bIns="97375" lIns="97375" spcFirstLastPara="1" rIns="97375" wrap="square" tIns="97375">
                          <a:noAutofit/>
                        </wps:bodyPr>
                      </wps:wsp>
                      <wps:wsp>
                        <wps:cNvSpPr/>
                        <wps:cNvPr id="9" name="Shape 9"/>
                        <wps:spPr>
                          <a:xfrm>
                            <a:off x="3895966" y="4771187"/>
                            <a:ext cx="846000" cy="3276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81999969482422"/>
                                  <w:vertAlign w:val="baseline"/>
                                </w:rPr>
                                <w:t xml:space="preserve">People</w:t>
                              </w:r>
                            </w:p>
                          </w:txbxContent>
                        </wps:txbx>
                        <wps:bodyPr anchorCtr="0" anchor="ctr" bIns="97375" lIns="97375" spcFirstLastPara="1" rIns="97375" wrap="square" tIns="97375">
                          <a:noAutofit/>
                        </wps:bodyPr>
                      </wps:wsp>
                      <wps:wsp>
                        <wps:cNvSpPr/>
                        <wps:cNvPr id="13" name="Shape 13"/>
                        <wps:spPr>
                          <a:xfrm>
                            <a:off x="6032674" y="4771320"/>
                            <a:ext cx="1373400" cy="327600"/>
                          </a:xfrm>
                          <a:prstGeom prst="rect">
                            <a:avLst/>
                          </a:prstGeom>
                          <a:noFill/>
                          <a:ln cap="flat" cmpd="sng" w="2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9.81999969482422"/>
                                  <w:vertAlign w:val="baseline"/>
                                </w:rPr>
                                <w:t xml:space="preserve">Environment</w:t>
                              </w:r>
                            </w:p>
                          </w:txbxContent>
                        </wps:txbx>
                        <wps:bodyPr anchorCtr="0" anchor="ctr" bIns="97375" lIns="97375" spcFirstLastPara="1" rIns="97375" wrap="square" tIns="97375">
                          <a:noAutofit/>
                        </wps:bodyPr>
                      </wps:wsp>
                      <wps:wsp>
                        <wps:cNvSpPr txBox="1"/>
                        <wps:cNvPr id="55" name="Shape 55"/>
                        <wps:spPr>
                          <a:xfrm>
                            <a:off x="3352375" y="510375"/>
                            <a:ext cx="1780500" cy="32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834190"/>
                <wp:effectExtent b="0" l="0" r="0" t="0"/>
                <wp:docPr id="214528508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43600" cy="28341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OBJECTIVES OF THE STUDY</w:t>
      </w:r>
    </w:p>
    <w:p w:rsidR="00000000" w:rsidDel="00000000" w:rsidP="00000000" w:rsidRDefault="00000000" w:rsidRPr="00000000" w14:paraId="00000043">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General Objective</w:t>
      </w:r>
    </w:p>
    <w:p w:rsidR="00000000" w:rsidDel="00000000" w:rsidP="00000000" w:rsidRDefault="00000000" w:rsidRPr="00000000" w14:paraId="00000045">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To design and develop a centralized Progressive Web Application (PWA) for Local Youth Development Offices (LYDOs) in Metro Manila that streamlines the dissemination of youth-related information and LYDO services, enables systematic monitoring of youth participation and program outcomes, and promotes public transparency through integrated administrative and user-facing web platforms supported by a shared database system. </w:t>
      </w:r>
    </w:p>
    <w:p w:rsidR="00000000" w:rsidDel="00000000" w:rsidP="00000000" w:rsidRDefault="00000000" w:rsidRPr="00000000" w14:paraId="0000004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Specific Objectives</w:t>
      </w:r>
    </w:p>
    <w:p w:rsidR="00000000" w:rsidDel="00000000" w:rsidP="00000000" w:rsidRDefault="00000000" w:rsidRPr="00000000" w14:paraId="00000048">
      <w:pPr>
        <w:numPr>
          <w:ilvl w:val="0"/>
          <w:numId w:val="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To provide users with centralized access to LYDO information on  programs, organizations, and services</w:t>
      </w:r>
      <w:r w:rsidDel="00000000" w:rsidR="00000000" w:rsidRPr="00000000">
        <w:rPr>
          <w:rtl w:val="0"/>
        </w:rPr>
      </w:r>
    </w:p>
    <w:p w:rsidR="00000000" w:rsidDel="00000000" w:rsidP="00000000" w:rsidRDefault="00000000" w:rsidRPr="00000000" w14:paraId="00000049">
      <w:pPr>
        <w:numPr>
          <w:ilvl w:val="0"/>
          <w:numId w:val="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To enable users to participate in LYDO programs and support local youth organizations in the YORP registration process, while allowing administrators to systematically monitor youth participation and program outcomes. </w:t>
      </w:r>
      <w:r w:rsidDel="00000000" w:rsidR="00000000" w:rsidRPr="00000000">
        <w:rPr>
          <w:rtl w:val="0"/>
        </w:rPr>
      </w:r>
    </w:p>
    <w:p w:rsidR="00000000" w:rsidDel="00000000" w:rsidP="00000000" w:rsidRDefault="00000000" w:rsidRPr="00000000" w14:paraId="0000004A">
      <w:pPr>
        <w:numPr>
          <w:ilvl w:val="0"/>
          <w:numId w:val="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To make LYDO governance records, compliance documents, and relevant public data accessible to the public, while enabling them to submit service requests and track their status. </w:t>
      </w:r>
      <w:r w:rsidDel="00000000" w:rsidR="00000000" w:rsidRPr="00000000">
        <w:rPr>
          <w:rtl w:val="0"/>
        </w:rPr>
      </w:r>
    </w:p>
    <w:p w:rsidR="00000000" w:rsidDel="00000000" w:rsidP="00000000" w:rsidRDefault="00000000" w:rsidRPr="00000000" w14:paraId="0000004B">
      <w:pPr>
        <w:numPr>
          <w:ilvl w:val="0"/>
          <w:numId w:val="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To equip LYDO administrators with tools to manage and maintain core system operations, including content updates, access management, record-keeping, tracking, and optional integration with Google Forms for selected registration and data collection processes.</w:t>
      </w:r>
      <w:r w:rsidDel="00000000" w:rsidR="00000000" w:rsidRPr="00000000">
        <w:rPr>
          <w:rtl w:val="0"/>
        </w:rPr>
      </w:r>
    </w:p>
    <w:p w:rsidR="00000000" w:rsidDel="00000000" w:rsidP="00000000" w:rsidRDefault="00000000" w:rsidRPr="00000000" w14:paraId="0000004C">
      <w:pPr>
        <w:numPr>
          <w:ilvl w:val="0"/>
          <w:numId w:val="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To evaluate the overall quality and effectiveness of the system in supporting local e-governance initiatives, using the ISO/IEC 25010 software quality model, and to assess compliance with applicable data privacy, transparency, and youth governance standards.</w:t>
      </w:r>
    </w:p>
    <w:p w:rsidR="00000000" w:rsidDel="00000000" w:rsidP="00000000" w:rsidRDefault="00000000" w:rsidRPr="00000000" w14:paraId="0000004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PROPOSED SYSTEM SOLUTION</w:t>
      </w:r>
      <w:r w:rsidDel="00000000" w:rsidR="00000000" w:rsidRPr="00000000">
        <w:rPr>
          <w:rtl w:val="0"/>
        </w:rPr>
      </w:r>
    </w:p>
    <w:p w:rsidR="00000000" w:rsidDel="00000000" w:rsidP="00000000" w:rsidRDefault="00000000" w:rsidRPr="00000000" w14:paraId="00000050">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study proposes the design and development of a centralized Progressive Web Application (PWA) for Local Youth Development Offices (LYDOs) in Metro Manila. The system is designed to improve the dissemination of youth-related information and LYDO services, </w:t>
      </w:r>
      <w:r w:rsidDel="00000000" w:rsidR="00000000" w:rsidRPr="00000000">
        <w:rPr>
          <w:rFonts w:ascii="Arial" w:cs="Arial" w:eastAsia="Arial" w:hAnsi="Arial"/>
          <w:rtl w:val="0"/>
        </w:rPr>
        <w:t xml:space="preserve">support participation processes,</w:t>
      </w:r>
      <w:r w:rsidDel="00000000" w:rsidR="00000000" w:rsidRPr="00000000">
        <w:rPr>
          <w:rFonts w:ascii="Arial" w:cs="Arial" w:eastAsia="Arial" w:hAnsi="Arial"/>
          <w:rtl w:val="0"/>
        </w:rPr>
        <w:t xml:space="preserve"> strengthen transparency, and provide more organized management of youth-related records through integrated user-facing and administrative web platforms supported by a shared database system. The proposed system responds to operational challenges experienced by LYDOs, where information dissemination, participation tracking, and transparency processes are often handled through fragmented channels such as social media, manual records, and disconnected third-party tools. These conditions may result in inconsistent access to information, difficulty in monitoring youth participation and program outcomes, limitations in records organization, and reduced access to relevant transparency information.</w:t>
      </w:r>
    </w:p>
    <w:p w:rsidR="00000000" w:rsidDel="00000000" w:rsidP="00000000" w:rsidRDefault="00000000" w:rsidRPr="00000000" w14:paraId="00000051">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main purpose of the system is to provide a more structured and centralized platform for youth information, participation, transparency, and service-related processes. It will provide centralized access to programs, organizations, public records, and service-related information, while also supporting participation workflows, youth organization visibility, YORP-related registration processes, and service requests.</w:t>
      </w:r>
    </w:p>
    <w:p w:rsidR="00000000" w:rsidDel="00000000" w:rsidP="00000000" w:rsidRDefault="00000000" w:rsidRPr="00000000" w14:paraId="0000005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Intended Users</w:t>
      </w:r>
    </w:p>
    <w:p w:rsidR="00000000" w:rsidDel="00000000" w:rsidP="00000000" w:rsidRDefault="00000000" w:rsidRPr="00000000" w14:paraId="00000055">
      <w:pPr>
        <w:numPr>
          <w:ilvl w:val="0"/>
          <w:numId w:val="6"/>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Youth Participants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General Youth </w:t>
      </w:r>
      <w:r w:rsidDel="00000000" w:rsidR="00000000" w:rsidRPr="00000000">
        <w:rPr>
          <w:rFonts w:ascii="Arial" w:cs="Arial" w:eastAsia="Arial" w:hAnsi="Arial"/>
          <w:rtl w:val="0"/>
        </w:rPr>
        <w:t xml:space="preserve">- to access information on LYDOs, SK federation, local youth organization, and transparency reports, register for </w:t>
      </w:r>
      <w:r w:rsidDel="00000000" w:rsidR="00000000" w:rsidRPr="00000000">
        <w:rPr>
          <w:rFonts w:ascii="Arial" w:cs="Arial" w:eastAsia="Arial" w:hAnsi="Arial"/>
          <w:rtl w:val="0"/>
        </w:rPr>
        <w:t xml:space="preserve">programs</w:t>
      </w:r>
      <w:r w:rsidDel="00000000" w:rsidR="00000000" w:rsidRPr="00000000">
        <w:rPr>
          <w:rFonts w:ascii="Arial" w:cs="Arial" w:eastAsia="Arial" w:hAnsi="Arial"/>
          <w:rtl w:val="0"/>
        </w:rPr>
        <w:t xml:space="preserve">, track participation, and request services.</w:t>
      </w:r>
    </w:p>
    <w:p w:rsidR="00000000" w:rsidDel="00000000" w:rsidP="00000000" w:rsidRDefault="00000000" w:rsidRPr="00000000" w14:paraId="00000056">
      <w:pPr>
        <w:numPr>
          <w:ilvl w:val="0"/>
          <w:numId w:val="6"/>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Local Youth Organizations</w:t>
      </w:r>
      <w:r w:rsidDel="00000000" w:rsidR="00000000" w:rsidRPr="00000000">
        <w:rPr>
          <w:rFonts w:ascii="Arial" w:cs="Arial" w:eastAsia="Arial" w:hAnsi="Arial"/>
          <w:rtl w:val="0"/>
        </w:rPr>
        <w:t xml:space="preserve"> - to register under the Youth Organization Registration Program (YORP) for official recognition.</w:t>
      </w:r>
    </w:p>
    <w:p w:rsidR="00000000" w:rsidDel="00000000" w:rsidP="00000000" w:rsidRDefault="00000000" w:rsidRPr="00000000" w14:paraId="00000057">
      <w:pPr>
        <w:numPr>
          <w:ilvl w:val="0"/>
          <w:numId w:val="6"/>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LYDO</w:t>
      </w:r>
      <w:r w:rsidDel="00000000" w:rsidR="00000000" w:rsidRPr="00000000">
        <w:rPr>
          <w:rFonts w:ascii="Arial" w:cs="Arial" w:eastAsia="Arial" w:hAnsi="Arial"/>
          <w:b w:val="1"/>
          <w:bCs w:val="1"/>
          <w:rtl w:val="0"/>
        </w:rPr>
        <w:t xml:space="preserve"> Personnel (Administrators)</w:t>
      </w:r>
      <w:r w:rsidDel="00000000" w:rsidR="00000000" w:rsidRPr="00000000">
        <w:rPr>
          <w:rFonts w:ascii="Arial" w:cs="Arial" w:eastAsia="Arial" w:hAnsi="Arial"/>
          <w:rtl w:val="0"/>
        </w:rPr>
        <w:t xml:space="preserve"> - to manage content, records, transparency information, user interactions, and administrative operations.</w:t>
      </w:r>
    </w:p>
    <w:p w:rsidR="00000000" w:rsidDel="00000000" w:rsidP="00000000" w:rsidRDefault="00000000" w:rsidRPr="00000000" w14:paraId="0000005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Major Features of the System</w:t>
      </w:r>
    </w:p>
    <w:p w:rsidR="00000000" w:rsidDel="00000000" w:rsidP="00000000" w:rsidRDefault="00000000" w:rsidRPr="00000000" w14:paraId="0000005A">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Centralized access to youth programs, organizations, services, and public information</w:t>
      </w:r>
    </w:p>
    <w:p w:rsidR="00000000" w:rsidDel="00000000" w:rsidP="00000000" w:rsidRDefault="00000000" w:rsidRPr="00000000" w14:paraId="0000005B">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Youth organization directory and YORP-related registration support</w:t>
      </w:r>
    </w:p>
    <w:p w:rsidR="00000000" w:rsidDel="00000000" w:rsidP="00000000" w:rsidRDefault="00000000" w:rsidRPr="00000000" w14:paraId="0000005C">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Participation workflows for youth programs, events, and participation-related processes</w:t>
      </w:r>
    </w:p>
    <w:p w:rsidR="00000000" w:rsidDel="00000000" w:rsidP="00000000" w:rsidRDefault="00000000" w:rsidRPr="00000000" w14:paraId="0000005D">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Youth desk for service requests, concerns, feedback, and request tracking</w:t>
      </w:r>
    </w:p>
    <w:p w:rsidR="00000000" w:rsidDel="00000000" w:rsidP="00000000" w:rsidRDefault="00000000" w:rsidRPr="00000000" w14:paraId="0000005E">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Public access to governance records, reports, and service-related information</w:t>
      </w:r>
    </w:p>
    <w:p w:rsidR="00000000" w:rsidDel="00000000" w:rsidP="00000000" w:rsidRDefault="00000000" w:rsidRPr="00000000" w14:paraId="0000005F">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Transparency, disclosure, and compliance-related information portal</w:t>
      </w:r>
    </w:p>
    <w:p w:rsidR="00000000" w:rsidDel="00000000" w:rsidP="00000000" w:rsidRDefault="00000000" w:rsidRPr="00000000" w14:paraId="00000060">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User accounts and profiles with role-based access</w:t>
      </w:r>
    </w:p>
    <w:p w:rsidR="00000000" w:rsidDel="00000000" w:rsidP="00000000" w:rsidRDefault="00000000" w:rsidRPr="00000000" w14:paraId="00000061">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Administrative dashboard for managing content, records, users, and system activities</w:t>
      </w:r>
    </w:p>
    <w:p w:rsidR="00000000" w:rsidDel="00000000" w:rsidP="00000000" w:rsidRDefault="00000000" w:rsidRPr="00000000" w14:paraId="00000062">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Monitoring, analytics, and report generation support for participation and program-related records</w:t>
      </w:r>
    </w:p>
    <w:p w:rsidR="00000000" w:rsidDel="00000000" w:rsidP="00000000" w:rsidRDefault="00000000" w:rsidRPr="00000000" w14:paraId="00000063">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Audit tracking and accountability support</w:t>
      </w:r>
    </w:p>
    <w:p w:rsidR="00000000" w:rsidDel="00000000" w:rsidP="00000000" w:rsidRDefault="00000000" w:rsidRPr="00000000" w14:paraId="00000064">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Shared database support for both user-facing and administrative platforms</w:t>
      </w:r>
    </w:p>
    <w:p w:rsidR="00000000" w:rsidDel="00000000" w:rsidP="00000000" w:rsidRDefault="00000000" w:rsidRPr="00000000" w14:paraId="0000006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General Technology Platform</w:t>
      </w:r>
    </w:p>
    <w:p w:rsidR="00000000" w:rsidDel="00000000" w:rsidP="00000000" w:rsidRDefault="00000000" w:rsidRPr="00000000" w14:paraId="00000067">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system will be developed as a centralized Progressive Web Application (PWA) accessible through web browsers on desktop and mobile devices. It will provide responsive user-facing and administrative web platforms supported by a shared database system for managing youth-related information, participation processes, transparency-related records, and administrative operations.</w:t>
      </w:r>
    </w:p>
    <w:p w:rsidR="00000000" w:rsidDel="00000000" w:rsidP="00000000" w:rsidRDefault="00000000" w:rsidRPr="00000000" w14:paraId="00000068">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 AND LIMITATIONS</w:t>
      </w:r>
    </w:p>
    <w:p w:rsidR="00000000" w:rsidDel="00000000" w:rsidP="00000000" w:rsidRDefault="00000000" w:rsidRPr="00000000" w14:paraId="0000006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w:t>
      </w:r>
    </w:p>
    <w:p w:rsidR="00000000" w:rsidDel="00000000" w:rsidP="00000000" w:rsidRDefault="00000000" w:rsidRPr="00000000" w14:paraId="0000006D">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study focuses on the design and development of a centralized Progressive Web Application (PWA), tailored for Local Youth Development Offices (LYDOs) within Metro Manila. The system consists of two (2) platforms: a user platform </w:t>
      </w:r>
      <w:r w:rsidDel="00000000" w:rsidR="00000000" w:rsidRPr="00000000">
        <w:rPr>
          <w:rFonts w:ascii="Arial" w:cs="Arial" w:eastAsia="Arial" w:hAnsi="Arial"/>
          <w:rtl w:val="0"/>
        </w:rPr>
        <w:t xml:space="preserve">for youth participants and general youth</w:t>
      </w:r>
      <w:r w:rsidDel="00000000" w:rsidR="00000000" w:rsidRPr="00000000">
        <w:rPr>
          <w:rFonts w:ascii="Arial" w:cs="Arial" w:eastAsia="Arial" w:hAnsi="Arial"/>
          <w:rtl w:val="0"/>
        </w:rPr>
        <w:t xml:space="preserve">, and an administrative platform for LYDO administrators, both supported by a shared database.</w:t>
      </w:r>
    </w:p>
    <w:p w:rsidR="00000000" w:rsidDel="00000000" w:rsidP="00000000" w:rsidRDefault="00000000" w:rsidRPr="00000000" w14:paraId="0000006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user platform enables </w:t>
      </w:r>
      <w:r w:rsidDel="00000000" w:rsidR="00000000" w:rsidRPr="00000000">
        <w:rPr>
          <w:rFonts w:ascii="Arial" w:cs="Arial" w:eastAsia="Arial" w:hAnsi="Arial"/>
          <w:b w:val="1"/>
          <w:bCs w:val="1"/>
          <w:rtl w:val="0"/>
        </w:rPr>
        <w:t xml:space="preserve">registered users</w:t>
      </w:r>
      <w:r w:rsidDel="00000000" w:rsidR="00000000" w:rsidRPr="00000000">
        <w:rPr>
          <w:rFonts w:ascii="Arial" w:cs="Arial" w:eastAsia="Arial" w:hAnsi="Arial"/>
          <w:rtl w:val="0"/>
        </w:rPr>
        <w:t xml:space="preserve"> (youth participants) to access full system features, which include information on LYDOs, SK federations, and local youth organizations, as well as profile management, </w:t>
      </w:r>
      <w:r w:rsidDel="00000000" w:rsidR="00000000" w:rsidRPr="00000000">
        <w:rPr>
          <w:rFonts w:ascii="Arial" w:cs="Arial" w:eastAsia="Arial" w:hAnsi="Arial"/>
          <w:rtl w:val="0"/>
        </w:rPr>
        <w:t xml:space="preserve">program registration, participation tracking, transparency-related reports, and a </w:t>
      </w:r>
      <w:r w:rsidDel="00000000" w:rsidR="00000000" w:rsidRPr="00000000">
        <w:rPr>
          <w:rFonts w:ascii="Arial" w:cs="Arial" w:eastAsia="Arial" w:hAnsi="Arial"/>
          <w:rtl w:val="0"/>
        </w:rPr>
        <w:t xml:space="preserve">service request ticketing system</w:t>
      </w:r>
      <w:r w:rsidDel="00000000" w:rsidR="00000000" w:rsidRPr="00000000">
        <w:rPr>
          <w:rFonts w:ascii="Arial" w:cs="Arial" w:eastAsia="Arial" w:hAnsi="Arial"/>
          <w:rtl w:val="0"/>
        </w:rPr>
        <w:t xml:space="preserve">. It also supports </w:t>
      </w:r>
      <w:r w:rsidDel="00000000" w:rsidR="00000000" w:rsidRPr="00000000">
        <w:rPr>
          <w:rFonts w:ascii="Arial" w:cs="Arial" w:eastAsia="Arial" w:hAnsi="Arial"/>
          <w:b w:val="1"/>
          <w:bCs w:val="1"/>
          <w:rtl w:val="0"/>
        </w:rPr>
        <w:t xml:space="preserve">unregistered users </w:t>
      </w:r>
      <w:r w:rsidDel="00000000" w:rsidR="00000000" w:rsidRPr="00000000">
        <w:rPr>
          <w:rFonts w:ascii="Arial" w:cs="Arial" w:eastAsia="Arial" w:hAnsi="Arial"/>
          <w:rtl w:val="0"/>
        </w:rPr>
        <w:t xml:space="preserve">(general youth) who are limited to accessing publicly available content, such as LYDOs, SK federation, and local youth organization information, along with transparency reports.</w:t>
      </w:r>
    </w:p>
    <w:p w:rsidR="00000000" w:rsidDel="00000000" w:rsidP="00000000" w:rsidRDefault="00000000" w:rsidRPr="00000000" w14:paraId="0000007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administrative platform enables LYDO administrators to manage system content, including announcements, information on LYDOs, SK federation, local youth organization, and transparency reports, as well as user management, program management, participation monitoring, and to oversee service request tickets submitted by users. It also provides consolidated data and automated generation of reports and analytics related to youth participation and program implementation through dashboards. All data utilized in the system will be sourced from LYDOs within Metro Manila.</w:t>
      </w:r>
    </w:p>
    <w:p w:rsidR="00000000" w:rsidDel="00000000" w:rsidP="00000000" w:rsidRDefault="00000000" w:rsidRPr="00000000" w14:paraId="0000007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Rule="auto"/>
        <w:jc w:val="both"/>
        <w:rPr>
          <w:rFonts w:ascii="Arial" w:cs="Arial" w:eastAsia="Arial" w:hAnsi="Arial"/>
          <w:b w:val="1"/>
          <w:bCs w:val="1"/>
        </w:rPr>
      </w:pPr>
      <w:r w:rsidDel="00000000" w:rsidR="00000000" w:rsidRPr="00000000">
        <w:rPr>
          <w:rFonts w:ascii="Arial" w:cs="Arial" w:eastAsia="Arial" w:hAnsi="Arial"/>
          <w:rtl w:val="0"/>
        </w:rPr>
        <w:tab/>
        <w:t xml:space="preserve">The proposed system consolidates existing LYDO digital processes into a centralized platform, enabling the same operations to be performed more efficiently, with better tracking and transparency. While participation tracking and analytics are partially automated, the system </w:t>
      </w:r>
      <w:r w:rsidDel="00000000" w:rsidR="00000000" w:rsidRPr="00000000">
        <w:rPr>
          <w:rFonts w:ascii="Arial" w:cs="Arial" w:eastAsia="Arial" w:hAnsi="Arial"/>
          <w:b w:val="1"/>
          <w:bCs w:val="1"/>
          <w:rtl w:val="0"/>
        </w:rPr>
        <w:t xml:space="preserve">does not</w:t>
      </w:r>
      <w:r w:rsidDel="00000000" w:rsidR="00000000" w:rsidRPr="00000000">
        <w:rPr>
          <w:rFonts w:ascii="Arial" w:cs="Arial" w:eastAsia="Arial" w:hAnsi="Arial"/>
          <w:rtl w:val="0"/>
        </w:rPr>
        <w:t xml:space="preserve"> change or fully automate the underlying procedures themselves; administrators are required for updates, management, and oversight.</w:t>
      </w:r>
      <w:r w:rsidDel="00000000" w:rsidR="00000000" w:rsidRPr="00000000">
        <w:rPr>
          <w:rtl w:val="0"/>
        </w:rPr>
      </w:r>
    </w:p>
    <w:p w:rsidR="00000000" w:rsidDel="00000000" w:rsidP="00000000" w:rsidRDefault="00000000" w:rsidRPr="00000000" w14:paraId="0000007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Limitations </w:t>
      </w:r>
    </w:p>
    <w:p w:rsidR="00000000" w:rsidDel="00000000" w:rsidP="00000000" w:rsidRDefault="00000000" w:rsidRPr="00000000" w14:paraId="00000076">
      <w:pPr>
        <w:spacing w:after="0" w:lineRule="auto"/>
        <w:jc w:val="both"/>
        <w:rPr>
          <w:rFonts w:ascii="Arial" w:cs="Arial" w:eastAsia="Arial" w:hAnsi="Arial"/>
        </w:rPr>
      </w:pPr>
      <w:r w:rsidDel="00000000" w:rsidR="00000000" w:rsidRPr="00000000">
        <w:rPr>
          <w:rFonts w:ascii="Arial" w:cs="Arial" w:eastAsia="Arial" w:hAnsi="Arial"/>
          <w:rtl w:val="0"/>
        </w:rPr>
        <w:t xml:space="preserve">This study is subject to the following limitations:</w:t>
      </w:r>
    </w:p>
    <w:p w:rsidR="00000000" w:rsidDel="00000000" w:rsidP="00000000" w:rsidRDefault="00000000" w:rsidRPr="00000000" w14:paraId="00000077">
      <w:pPr>
        <w:numPr>
          <w:ilvl w:val="0"/>
          <w:numId w:val="2"/>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w:t>
      </w:r>
      <w:r w:rsidDel="00000000" w:rsidR="00000000" w:rsidRPr="00000000">
        <w:rPr>
          <w:rFonts w:ascii="Arial" w:cs="Arial" w:eastAsia="Arial" w:hAnsi="Arial"/>
          <w:b w:val="1"/>
          <w:bCs w:val="1"/>
          <w:rtl w:val="0"/>
        </w:rPr>
        <w:t xml:space="preserve">will not </w:t>
      </w:r>
      <w:r w:rsidDel="00000000" w:rsidR="00000000" w:rsidRPr="00000000">
        <w:rPr>
          <w:rFonts w:ascii="Arial" w:cs="Arial" w:eastAsia="Arial" w:hAnsi="Arial"/>
          <w:rtl w:val="0"/>
        </w:rPr>
        <w:t xml:space="preserve">replace the full operations of the LYDOs or cover unrelated government offices and services; it serves only as a digital support tool.</w:t>
      </w:r>
    </w:p>
    <w:p w:rsidR="00000000" w:rsidDel="00000000" w:rsidP="00000000" w:rsidRDefault="00000000" w:rsidRPr="00000000" w14:paraId="00000078">
      <w:pPr>
        <w:numPr>
          <w:ilvl w:val="0"/>
          <w:numId w:val="2"/>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w:t>
      </w:r>
      <w:r w:rsidDel="00000000" w:rsidR="00000000" w:rsidRPr="00000000">
        <w:rPr>
          <w:rFonts w:ascii="Arial" w:cs="Arial" w:eastAsia="Arial" w:hAnsi="Arial"/>
          <w:b w:val="1"/>
          <w:bCs w:val="1"/>
          <w:rtl w:val="0"/>
        </w:rPr>
        <w:t xml:space="preserve">will not</w:t>
      </w:r>
      <w:r w:rsidDel="00000000" w:rsidR="00000000" w:rsidRPr="00000000">
        <w:rPr>
          <w:rFonts w:ascii="Arial" w:cs="Arial" w:eastAsia="Arial" w:hAnsi="Arial"/>
          <w:rtl w:val="0"/>
        </w:rPr>
        <w:t xml:space="preserve"> include payment processing, scholarship fund management, formal e-signature approval workflows, or full integration with existing government databases and systems.</w:t>
      </w:r>
    </w:p>
    <w:p w:rsidR="00000000" w:rsidDel="00000000" w:rsidP="00000000" w:rsidRDefault="00000000" w:rsidRPr="00000000" w14:paraId="00000079">
      <w:pPr>
        <w:numPr>
          <w:ilvl w:val="0"/>
          <w:numId w:val="2"/>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w:t>
      </w:r>
      <w:r w:rsidDel="00000000" w:rsidR="00000000" w:rsidRPr="00000000">
        <w:rPr>
          <w:rFonts w:ascii="Arial" w:cs="Arial" w:eastAsia="Arial" w:hAnsi="Arial"/>
          <w:b w:val="1"/>
          <w:bCs w:val="1"/>
          <w:rtl w:val="0"/>
        </w:rPr>
        <w:t xml:space="preserve">will not</w:t>
      </w:r>
      <w:r w:rsidDel="00000000" w:rsidR="00000000" w:rsidRPr="00000000">
        <w:rPr>
          <w:rFonts w:ascii="Arial" w:cs="Arial" w:eastAsia="Arial" w:hAnsi="Arial"/>
          <w:rtl w:val="0"/>
        </w:rPr>
        <w:t xml:space="preserve"> function fully without internet connectivity, cloud services, external tools, or timely data encoding and updates by authorized administrators; while the PWA can provide limited offline access to previously cached pages and assets, core features and real-time updates remain unavailable offline.</w:t>
      </w:r>
    </w:p>
    <w:p w:rsidR="00000000" w:rsidDel="00000000" w:rsidP="00000000" w:rsidRDefault="00000000" w:rsidRPr="00000000" w14:paraId="0000007A">
      <w:pPr>
        <w:numPr>
          <w:ilvl w:val="0"/>
          <w:numId w:val="2"/>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Full access to administrative features is </w:t>
      </w:r>
      <w:r w:rsidDel="00000000" w:rsidR="00000000" w:rsidRPr="00000000">
        <w:rPr>
          <w:rFonts w:ascii="Arial" w:cs="Arial" w:eastAsia="Arial" w:hAnsi="Arial"/>
          <w:b w:val="1"/>
          <w:bCs w:val="1"/>
          <w:rtl w:val="0"/>
        </w:rPr>
        <w:t xml:space="preserve">restricted</w:t>
      </w:r>
      <w:r w:rsidDel="00000000" w:rsidR="00000000" w:rsidRPr="00000000">
        <w:rPr>
          <w:rFonts w:ascii="Arial" w:cs="Arial" w:eastAsia="Arial" w:hAnsi="Arial"/>
          <w:rtl w:val="0"/>
        </w:rPr>
        <w:t xml:space="preserve"> solely to LYDO administrators; registered and unregistered users have limited access.</w:t>
      </w:r>
    </w:p>
    <w:p w:rsidR="00000000" w:rsidDel="00000000" w:rsidP="00000000" w:rsidRDefault="00000000" w:rsidRPr="00000000" w14:paraId="0000007B">
      <w:pPr>
        <w:numPr>
          <w:ilvl w:val="0"/>
          <w:numId w:val="2"/>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While participation tracking and analytics are partially automated, the system </w:t>
      </w:r>
      <w:r w:rsidDel="00000000" w:rsidR="00000000" w:rsidRPr="00000000">
        <w:rPr>
          <w:rFonts w:ascii="Arial" w:cs="Arial" w:eastAsia="Arial" w:hAnsi="Arial"/>
          <w:b w:val="1"/>
          <w:bCs w:val="1"/>
          <w:rtl w:val="0"/>
        </w:rPr>
        <w:t xml:space="preserve">does not</w:t>
      </w:r>
      <w:r w:rsidDel="00000000" w:rsidR="00000000" w:rsidRPr="00000000">
        <w:rPr>
          <w:rFonts w:ascii="Arial" w:cs="Arial" w:eastAsia="Arial" w:hAnsi="Arial"/>
          <w:rtl w:val="0"/>
        </w:rPr>
        <w:t xml:space="preserve"> automate program management, ticket resolution, or administrative decision-making, which still require administrator input.</w:t>
      </w:r>
    </w:p>
    <w:p w:rsidR="00000000" w:rsidDel="00000000" w:rsidP="00000000" w:rsidRDefault="00000000" w:rsidRPr="00000000" w14:paraId="0000007C">
      <w:pPr>
        <w:numPr>
          <w:ilvl w:val="0"/>
          <w:numId w:val="2"/>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system is </w:t>
      </w:r>
      <w:r w:rsidDel="00000000" w:rsidR="00000000" w:rsidRPr="00000000">
        <w:rPr>
          <w:rFonts w:ascii="Arial" w:cs="Arial" w:eastAsia="Arial" w:hAnsi="Arial"/>
          <w:b w:val="1"/>
          <w:bCs w:val="1"/>
          <w:rtl w:val="0"/>
        </w:rPr>
        <w:t xml:space="preserve">dependent</w:t>
      </w:r>
      <w:r w:rsidDel="00000000" w:rsidR="00000000" w:rsidRPr="00000000">
        <w:rPr>
          <w:rFonts w:ascii="Arial" w:cs="Arial" w:eastAsia="Arial" w:hAnsi="Arial"/>
          <w:rtl w:val="0"/>
        </w:rPr>
        <w:t xml:space="preserve"> on a shared database; its performance and data availability are contingent on the reliability and proper maintenance of this database.</w:t>
      </w:r>
    </w:p>
    <w:p w:rsidR="00000000" w:rsidDel="00000000" w:rsidP="00000000" w:rsidRDefault="00000000" w:rsidRPr="00000000" w14:paraId="0000007D">
      <w:pPr>
        <w:numPr>
          <w:ilvl w:val="0"/>
          <w:numId w:val="2"/>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is designed for the Metro Manila LYDOs context, but pilot implementation/evaluation is </w:t>
      </w:r>
      <w:r w:rsidDel="00000000" w:rsidR="00000000" w:rsidRPr="00000000">
        <w:rPr>
          <w:rFonts w:ascii="Arial" w:cs="Arial" w:eastAsia="Arial" w:hAnsi="Arial"/>
          <w:b w:val="1"/>
          <w:bCs w:val="1"/>
          <w:rtl w:val="0"/>
        </w:rPr>
        <w:t xml:space="preserve">limited</w:t>
      </w:r>
      <w:r w:rsidDel="00000000" w:rsidR="00000000" w:rsidRPr="00000000">
        <w:rPr>
          <w:rFonts w:ascii="Arial" w:cs="Arial" w:eastAsia="Arial" w:hAnsi="Arial"/>
          <w:rtl w:val="0"/>
        </w:rPr>
        <w:t xml:space="preserve"> to one selected office, and findings cannot be automatically generalized to other LYDOs or regions outside Metro Manila.</w:t>
      </w:r>
    </w:p>
    <w:p w:rsidR="00000000" w:rsidDel="00000000" w:rsidP="00000000" w:rsidRDefault="00000000" w:rsidRPr="00000000" w14:paraId="0000007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METHODOLOGY</w:t>
      </w:r>
      <w:r w:rsidDel="00000000" w:rsidR="00000000" w:rsidRPr="00000000">
        <w:rPr>
          <w:rtl w:val="0"/>
        </w:rPr>
      </w:r>
    </w:p>
    <w:p w:rsidR="00000000" w:rsidDel="00000000" w:rsidP="00000000" w:rsidRDefault="00000000" w:rsidRPr="00000000" w14:paraId="00000081">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study will employ a </w:t>
      </w:r>
      <w:r w:rsidDel="00000000" w:rsidR="00000000" w:rsidRPr="00000000">
        <w:rPr>
          <w:rFonts w:ascii="Arial" w:cs="Arial" w:eastAsia="Arial" w:hAnsi="Arial"/>
          <w:b w:val="1"/>
          <w:bCs w:val="1"/>
          <w:rtl w:val="0"/>
        </w:rPr>
        <w:t xml:space="preserve">descriptive-developmental research design</w:t>
      </w:r>
      <w:r w:rsidDel="00000000" w:rsidR="00000000" w:rsidRPr="00000000">
        <w:rPr>
          <w:rFonts w:ascii="Arial" w:cs="Arial" w:eastAsia="Arial" w:hAnsi="Arial"/>
          <w:rtl w:val="0"/>
        </w:rPr>
        <w:t xml:space="preserve">. The descriptive component will examine the existing practices and challenges in information dissemination, youth participation monitoring, and transparency processes in the selected Local Youth Development Offices (LYDOs) context. The developmental component will focus on the design, development, and evaluation of a centralized Progressive Web Application (PWA) intended to address the identified operational needs.</w:t>
      </w:r>
    </w:p>
    <w:p w:rsidR="00000000" w:rsidDel="00000000" w:rsidP="00000000" w:rsidRDefault="00000000" w:rsidRPr="00000000" w14:paraId="00000082">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study will be guided by the </w:t>
      </w:r>
      <w:r w:rsidDel="00000000" w:rsidR="00000000" w:rsidRPr="00000000">
        <w:rPr>
          <w:rFonts w:ascii="Arial" w:cs="Arial" w:eastAsia="Arial" w:hAnsi="Arial"/>
          <w:b w:val="1"/>
          <w:bCs w:val="1"/>
          <w:rtl w:val="0"/>
        </w:rPr>
        <w:t xml:space="preserve">Design Science Research (DSR) framework</w:t>
      </w:r>
      <w:r w:rsidDel="00000000" w:rsidR="00000000" w:rsidRPr="00000000">
        <w:rPr>
          <w:rFonts w:ascii="Arial" w:cs="Arial" w:eastAsia="Arial" w:hAnsi="Arial"/>
          <w:rtl w:val="0"/>
        </w:rPr>
        <w:t xml:space="preserve"> as its overall research approach. DSR is appropriate because the study aims to design, develop, and evaluate a technological solution that addresses an identified organizational problem. Guided by this framework, the study will proceed through problem identification, definition of objectives, system design and development, demonstration, evaluation, and presentation of results.</w:t>
      </w:r>
    </w:p>
    <w:p w:rsidR="00000000" w:rsidDel="00000000" w:rsidP="00000000" w:rsidRDefault="00000000" w:rsidRPr="00000000" w14:paraId="00000084">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For software development, the study will adopt the </w:t>
      </w:r>
      <w:r w:rsidDel="00000000" w:rsidR="00000000" w:rsidRPr="00000000">
        <w:rPr>
          <w:rFonts w:ascii="Arial" w:cs="Arial" w:eastAsia="Arial" w:hAnsi="Arial"/>
          <w:b w:val="1"/>
          <w:bCs w:val="1"/>
          <w:rtl w:val="0"/>
        </w:rPr>
        <w:t xml:space="preserve">Rapid Application Development (RAD)</w:t>
      </w:r>
      <w:r w:rsidDel="00000000" w:rsidR="00000000" w:rsidRPr="00000000">
        <w:rPr>
          <w:rFonts w:ascii="Arial" w:cs="Arial" w:eastAsia="Arial" w:hAnsi="Arial"/>
          <w:rtl w:val="0"/>
        </w:rPr>
        <w:t xml:space="preserve"> model. RAD is suitable for the project because it supports iterative prototyping, continuous stakeholder feedback, and rapid refinement of system features. The development process will include requirements planning, user design, construction, testing, refinement, and final presentation of the working prototype.</w:t>
      </w:r>
    </w:p>
    <w:p w:rsidR="00000000" w:rsidDel="00000000" w:rsidP="00000000" w:rsidRDefault="00000000" w:rsidRPr="00000000" w14:paraId="00000086">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Primary data will be collected from one selected LYDO in Metro Manila and from intended system users, including LYDO personnel, youth participants, and general youth. Data-gathering methods will include stakeholder interviews, consultations, and evaluation surveys to identify system requirements and assess the usability and acceptability of the developed system. Secondary data will be gathered through the review of relevant laws, implementing rules and regulations, office records, public information materials, related literature, and existing digital systems.</w:t>
      </w:r>
    </w:p>
    <w:p w:rsidR="00000000" w:rsidDel="00000000" w:rsidP="00000000" w:rsidRDefault="00000000" w:rsidRPr="00000000" w14:paraId="00000088">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9">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developed system will be evaluated through user feedback and expert assessment using selected criteria from the ISO/IEC 25010 software quality model, particularly those relevant to the scope of the study, such as functional suitability, usability, performance efficiency, security, and reliability. The pilot implementation and evaluation of the system will be limited to one selected LYDO in Metro Manila, subject to the project’s time, resource, and operational constraints.</w:t>
      </w:r>
    </w:p>
    <w:p w:rsidR="00000000" w:rsidDel="00000000" w:rsidP="00000000" w:rsidRDefault="00000000" w:rsidRPr="00000000" w14:paraId="0000008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EXPECTED OUTPUTS</w:t>
      </w:r>
    </w:p>
    <w:p w:rsidR="00000000" w:rsidDel="00000000" w:rsidP="00000000" w:rsidRDefault="00000000" w:rsidRPr="00000000" w14:paraId="0000008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Primary Deliverables</w:t>
      </w:r>
    </w:p>
    <w:p w:rsidR="00000000" w:rsidDel="00000000" w:rsidP="00000000" w:rsidRDefault="00000000" w:rsidRPr="00000000" w14:paraId="0000008F">
      <w:pPr>
        <w:numPr>
          <w:ilvl w:val="0"/>
          <w:numId w:val="9"/>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Centralized Progressive Web Application (User and Admin Portal)</w:t>
      </w:r>
    </w:p>
    <w:p w:rsidR="00000000" w:rsidDel="00000000" w:rsidP="00000000" w:rsidRDefault="00000000" w:rsidRPr="00000000" w14:paraId="00000090">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fully functional progressive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web application that enables youth users to create an account, browse LYDO services, register for programs, submit service requests, and view transparency reports, while allowing administrators to manage users, monitor participation, track transparency, and generate reports. </w:t>
      </w:r>
    </w:p>
    <w:p w:rsidR="00000000" w:rsidDel="00000000" w:rsidP="00000000" w:rsidRDefault="00000000" w:rsidRPr="00000000" w14:paraId="00000091">
      <w:pPr>
        <w:numPr>
          <w:ilvl w:val="0"/>
          <w:numId w:val="9"/>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Centralized Shared Database System</w:t>
      </w:r>
    </w:p>
    <w:p w:rsidR="00000000" w:rsidDel="00000000" w:rsidP="00000000" w:rsidRDefault="00000000" w:rsidRPr="00000000" w14:paraId="00000092">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shared database that stores and synchronizes data between the user and admin portals, supporting continuous updates for both portals. </w:t>
      </w:r>
    </w:p>
    <w:p w:rsidR="00000000" w:rsidDel="00000000" w:rsidP="00000000" w:rsidRDefault="00000000" w:rsidRPr="00000000" w14:paraId="00000093">
      <w:pPr>
        <w:numPr>
          <w:ilvl w:val="0"/>
          <w:numId w:val="9"/>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Source Code Repository</w:t>
      </w:r>
    </w:p>
    <w:p w:rsidR="00000000" w:rsidDel="00000000" w:rsidP="00000000" w:rsidRDefault="00000000" w:rsidRPr="00000000" w14:paraId="00000094">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version-controlled repository containing all frontend, backend, and database scripts of the system.</w:t>
      </w:r>
    </w:p>
    <w:p w:rsidR="00000000" w:rsidDel="00000000" w:rsidP="00000000" w:rsidRDefault="00000000" w:rsidRPr="00000000" w14:paraId="0000009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6">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Secondary Deliverables</w:t>
      </w:r>
    </w:p>
    <w:p w:rsidR="00000000" w:rsidDel="00000000" w:rsidP="00000000" w:rsidRDefault="00000000" w:rsidRPr="00000000" w14:paraId="00000097">
      <w:pPr>
        <w:numPr>
          <w:ilvl w:val="0"/>
          <w:numId w:val="5"/>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Manuscript </w:t>
      </w:r>
    </w:p>
    <w:p w:rsidR="00000000" w:rsidDel="00000000" w:rsidP="00000000" w:rsidRDefault="00000000" w:rsidRPr="00000000" w14:paraId="00000098">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comprehensive document detailing the project’s background, objectives, methodology, system development, findings, and conclusions.</w:t>
      </w:r>
    </w:p>
    <w:p w:rsidR="00000000" w:rsidDel="00000000" w:rsidP="00000000" w:rsidRDefault="00000000" w:rsidRPr="00000000" w14:paraId="00000099">
      <w:pPr>
        <w:numPr>
          <w:ilvl w:val="0"/>
          <w:numId w:val="5"/>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Technical Documentation</w:t>
      </w:r>
    </w:p>
    <w:p w:rsidR="00000000" w:rsidDel="00000000" w:rsidP="00000000" w:rsidRDefault="00000000" w:rsidRPr="00000000" w14:paraId="0000009A">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technical guide covering the system architecture, database design, and implementation processes for </w:t>
      </w:r>
      <w:r w:rsidDel="00000000" w:rsidR="00000000" w:rsidRPr="00000000">
        <w:rPr>
          <w:rFonts w:ascii="Arial" w:cs="Arial" w:eastAsia="Arial" w:hAnsi="Arial"/>
          <w:rtl w:val="0"/>
        </w:rPr>
        <w:t xml:space="preserve">developers or</w:t>
      </w:r>
      <w:r w:rsidDel="00000000" w:rsidR="00000000" w:rsidRPr="00000000">
        <w:rPr>
          <w:rFonts w:ascii="Arial" w:cs="Arial" w:eastAsia="Arial" w:hAnsi="Arial"/>
          <w:rtl w:val="0"/>
        </w:rPr>
        <w:t xml:space="preserve"> future maintainers of the system.</w:t>
      </w:r>
    </w:p>
    <w:p w:rsidR="00000000" w:rsidDel="00000000" w:rsidP="00000000" w:rsidRDefault="00000000" w:rsidRPr="00000000" w14:paraId="0000009B">
      <w:pPr>
        <w:numPr>
          <w:ilvl w:val="0"/>
          <w:numId w:val="5"/>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User Documentation</w:t>
      </w:r>
    </w:p>
    <w:p w:rsidR="00000000" w:rsidDel="00000000" w:rsidP="00000000" w:rsidRDefault="00000000" w:rsidRPr="00000000" w14:paraId="0000009C">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An instructional material designed to guide both users and administrators, ensuring effective navigation and utilization of the system’s features.</w:t>
      </w:r>
    </w:p>
    <w:p w:rsidR="00000000" w:rsidDel="00000000" w:rsidP="00000000" w:rsidRDefault="00000000" w:rsidRPr="00000000" w14:paraId="0000009D">
      <w:pPr>
        <w:numPr>
          <w:ilvl w:val="0"/>
          <w:numId w:val="5"/>
        </w:numP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System Evaluation Results</w:t>
      </w:r>
    </w:p>
    <w:p w:rsidR="00000000" w:rsidDel="00000000" w:rsidP="00000000" w:rsidRDefault="00000000" w:rsidRPr="00000000" w14:paraId="0000009E">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A summarized report presenting the system’s performance, usability, and effectiveness based on conducted evaluations.</w:t>
      </w:r>
    </w:p>
    <w:p w:rsidR="00000000" w:rsidDel="00000000" w:rsidP="00000000" w:rsidRDefault="00000000" w:rsidRPr="00000000" w14:paraId="0000009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1">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SIGNIFICANCE OF THE STUDY</w:t>
      </w:r>
    </w:p>
    <w:p w:rsidR="00000000" w:rsidDel="00000000" w:rsidP="00000000" w:rsidRDefault="00000000" w:rsidRPr="00000000" w14:paraId="000000A2">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study will be significant as it proposes the design and development of a Progressive Web Application for Information, Participation, and Transparency for Local Youth Development Offices in Metro Manila, aimed at enhancing youth participation and strengthening governance through improving information dissemination, participation processes, and transparency mechanisms within local e-governance initiatives.</w:t>
      </w:r>
    </w:p>
    <w:p w:rsidR="00000000" w:rsidDel="00000000" w:rsidP="00000000" w:rsidRDefault="00000000" w:rsidRPr="00000000" w14:paraId="000000A4">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5">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 Local Youth Development Offices (LYDOs),</w:t>
      </w:r>
      <w:r w:rsidDel="00000000" w:rsidR="00000000" w:rsidRPr="00000000">
        <w:rPr>
          <w:rFonts w:ascii="Arial" w:cs="Arial" w:eastAsia="Arial" w:hAnsi="Arial"/>
          <w:rtl w:val="0"/>
        </w:rPr>
        <w:t xml:space="preserve"> the system will serve as a centralized platform for organizing program information, participation records, transparency documents, and service-related </w:t>
      </w:r>
      <w:r w:rsidDel="00000000" w:rsidR="00000000" w:rsidRPr="00000000">
        <w:rPr>
          <w:rFonts w:ascii="Arial" w:cs="Arial" w:eastAsia="Arial" w:hAnsi="Arial"/>
          <w:rtl w:val="0"/>
        </w:rPr>
        <w:t xml:space="preserve">operations</w:t>
      </w:r>
      <w:r w:rsidDel="00000000" w:rsidR="00000000" w:rsidRPr="00000000">
        <w:rPr>
          <w:rFonts w:ascii="Arial" w:cs="Arial" w:eastAsia="Arial" w:hAnsi="Arial"/>
          <w:rtl w:val="0"/>
        </w:rPr>
        <w:t xml:space="preserve">. The system is expected to support more efficient administrative processes, improve data organization, enable more systematic monitoring of youth participation and program implementation, provide analytics for informed decision-making, and enhance transparency in operations and reporting.</w:t>
      </w:r>
    </w:p>
    <w:p w:rsidR="00000000" w:rsidDel="00000000" w:rsidP="00000000" w:rsidRDefault="00000000" w:rsidRPr="00000000" w14:paraId="000000A6">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 the Sangguniang Kabataan (SK) Federations, </w:t>
      </w:r>
      <w:r w:rsidDel="00000000" w:rsidR="00000000" w:rsidRPr="00000000">
        <w:rPr>
          <w:rFonts w:ascii="Arial" w:cs="Arial" w:eastAsia="Arial" w:hAnsi="Arial"/>
          <w:rtl w:val="0"/>
        </w:rPr>
        <w:t xml:space="preserve">the system will provide a more accessible platform for presenting relevant information about the SK offices, youth governance, and related public records. This is expected to help strengthen coordination with LYDOs, improve awareness of reporting and documentation status, increase the visibility of SK roles and initiatives, and support accountability in the implementation of youth programs and initiatives. </w:t>
      </w:r>
    </w:p>
    <w:p w:rsidR="00000000" w:rsidDel="00000000" w:rsidP="00000000" w:rsidRDefault="00000000" w:rsidRPr="00000000" w14:paraId="000000A7">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 local youth organizations, </w:t>
      </w:r>
      <w:r w:rsidDel="00000000" w:rsidR="00000000" w:rsidRPr="00000000">
        <w:rPr>
          <w:rFonts w:ascii="Arial" w:cs="Arial" w:eastAsia="Arial" w:hAnsi="Arial"/>
          <w:rtl w:val="0"/>
        </w:rPr>
        <w:t xml:space="preserve">the system will provide a more organized platform for presenting relevant information about existing youth organizations, their participation in youth-related programs and community initiatives, and supporting their registration under the Youth Organizations’ Registration Program (YORP). This is expected to improve organizational visibility, increase public awareness of their presence and activities, support stronger coordination between youth organizations and LYDOs, and facilitate a more organized registration process toward official recognition. </w:t>
      </w:r>
    </w:p>
    <w:p w:rsidR="00000000" w:rsidDel="00000000" w:rsidP="00000000" w:rsidRDefault="00000000" w:rsidRPr="00000000" w14:paraId="000000A8">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 youth participants and the general youth, </w:t>
      </w:r>
      <w:r w:rsidDel="00000000" w:rsidR="00000000" w:rsidRPr="00000000">
        <w:rPr>
          <w:rFonts w:ascii="Arial" w:cs="Arial" w:eastAsia="Arial" w:hAnsi="Arial"/>
          <w:rtl w:val="0"/>
        </w:rPr>
        <w:t xml:space="preserve">the system will provide access to publicly available information on programs, announcements, transparency reports, and service updates, together with mechanisms for registration, participation tracking, and submission of service requests. This is expected to improve access to opportunities, promote accessibility to information, support increased participation in youth development initiatives, and strengthen transparency in youth governance.</w:t>
      </w:r>
    </w:p>
    <w:p w:rsidR="00000000" w:rsidDel="00000000" w:rsidP="00000000" w:rsidRDefault="00000000" w:rsidRPr="00000000" w14:paraId="000000A9">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 Local Government Units (LGUs),</w:t>
      </w:r>
      <w:r w:rsidDel="00000000" w:rsidR="00000000" w:rsidRPr="00000000">
        <w:rPr>
          <w:rFonts w:ascii="Arial" w:cs="Arial" w:eastAsia="Arial" w:hAnsi="Arial"/>
          <w:rtl w:val="0"/>
        </w:rPr>
        <w:t xml:space="preserve"> the system will provide consolidated data and reports that will support monitoring, evaluation, and planning of youth development programs, enabling better decision-making and more effective resource allocation across LYDOs.</w:t>
      </w:r>
    </w:p>
    <w:p w:rsidR="00000000" w:rsidDel="00000000" w:rsidP="00000000" w:rsidRDefault="00000000" w:rsidRPr="00000000" w14:paraId="000000AA">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 future researchers,</w:t>
      </w:r>
      <w:r w:rsidDel="00000000" w:rsidR="00000000" w:rsidRPr="00000000">
        <w:rPr>
          <w:rFonts w:ascii="Arial" w:cs="Arial" w:eastAsia="Arial" w:hAnsi="Arial"/>
          <w:rtl w:val="0"/>
        </w:rPr>
        <w:t xml:space="preserve"> the study may serve as a reference for the design and development of digital platforms related to e-government systems, youth participation monitoring, and transparency initiatives in local governance. It also contributes insights into how e-governance can enhance youth participation and transparency in public sector programs within the Philippines context, and provides access to analytics for studying participation trends and program outcomes.</w:t>
      </w:r>
    </w:p>
    <w:p w:rsidR="00000000" w:rsidDel="00000000" w:rsidP="00000000" w:rsidRDefault="00000000" w:rsidRPr="00000000" w14:paraId="000000AB">
      <w:pP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C">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REVIEW OF RELATED LITERATURE</w:t>
      </w:r>
    </w:p>
    <w:p w:rsidR="00000000" w:rsidDel="00000000" w:rsidP="00000000" w:rsidRDefault="00000000" w:rsidRPr="00000000" w14:paraId="000000AE">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Transparency and Accountability in Local Governance</w:t>
      </w:r>
    </w:p>
    <w:p w:rsidR="00000000" w:rsidDel="00000000" w:rsidP="00000000" w:rsidRDefault="00000000" w:rsidRPr="00000000" w14:paraId="000000B0">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Access to public information is a fundamental element of democratic governance and is recognized in the Philippine Constitution under the Right to Information (RTI). RTI allows citizens to access information on matters of public concern and serves as a mechanism for strengthening transparency, accountability, and citizen participation in governance. According to Oroña-Cabagay et al. (2025), RTI plays a significant role in promoting open governance by ensuring that government information is accessible to the public and by enabling citizens to monitor government actions.</w:t>
      </w:r>
    </w:p>
    <w:p w:rsidR="00000000" w:rsidDel="00000000" w:rsidP="00000000" w:rsidRDefault="00000000" w:rsidRPr="00000000" w14:paraId="000000B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study explored the legal foundations and institutional practices related to the implementation of RTI in the Philippines. It highlighted the importance of the Freedom of Information (FOI) Program and the electronic Freedom of Information (eFOI) system as digital platforms that allow citizens to request and access government records. These platforms improve transparency by providing easier access to government documents and promoting public participation in governance. This concept is relevant to the proposed system, which aims to support transparency in youth governance by providing accessible information on youth programs, participation records, and activity reports managed by Local Youth Development Offices.</w:t>
      </w:r>
    </w:p>
    <w:p w:rsidR="00000000" w:rsidDel="00000000" w:rsidP="00000000" w:rsidRDefault="00000000" w:rsidRPr="00000000" w14:paraId="000000B3">
      <w:pPr>
        <w:spacing w:after="0" w:lineRule="auto"/>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B4">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However, the study also identified several challenges in implementing RTI, including bureaucratic complexity, technological limitations, and institutional resistance. These challenges highlight the need for improved digital systems that simplify access to public information and support open governance initiatives. The proposed system addresses these limitations by providing a structured digital platform where youth program information, participation data, and transparency reports can be organized and accessed more efficiently, reducing reliance on fragmented communication channels and manual documentation.</w:t>
      </w:r>
    </w:p>
    <w:p w:rsidR="00000000" w:rsidDel="00000000" w:rsidP="00000000" w:rsidRDefault="00000000" w:rsidRPr="00000000" w14:paraId="000000B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6">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Transparency and accountability are also essential principles in ensuring effective governance and preventing corruption within public institutions. Ong and Gabriel (2018) emphasized that these principles play a critical role in improving the performance of local legislative bodies. Their study assessed the level of transparency and accountability among local legislators in five cities in Nueva Ecija, Philippines, and examined how these principles relate to legislative performance. Using a mixed-methods approach and Pearson Product Moment Correlation, the study found that local legislators generally demonstrated adherence to transparency and accountability practices and that higher levels of observance were associated with increased legislative productivity, as measured by the number of ordinances and resolutions enacted.</w:t>
      </w:r>
    </w:p>
    <w:p w:rsidR="00000000" w:rsidDel="00000000" w:rsidP="00000000" w:rsidRDefault="00000000" w:rsidRPr="00000000" w14:paraId="000000B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findings highlight that transparency and accountability are not only ethical standards but also practical drivers of improved governance outcomes. Moreover, the study recommended the use of Information and Communications Technology (ICT) as a tool to strengthen these principles by enhancing monitoring mechanisms, improving responsiveness to public demands, and ensuring efficient delivery of services. This is relevant to the proposed system, as it integrates digital tools to support transparency in youth governance. By providing accessible records of youth programs, participation data, and activity reports, the system contributes to accountability and allows stakeholders to evaluate the effectiveness of youth initiatives. In this way, the system aligns with the study’s recommendation of leveraging ICT to improve governance performance and public service delivery at the local level.</w:t>
      </w:r>
    </w:p>
    <w:p w:rsidR="00000000" w:rsidDel="00000000" w:rsidP="00000000" w:rsidRDefault="00000000" w:rsidRPr="00000000" w14:paraId="000000B9">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In relation to transparency in digital environments, Villodre (2024) explored how public administrations use social media as a medium for transparency and official communication. The study examined three models of social media-mediated transparency in city councils across Spain and analyzed how social media is used in the public sector. Villodre found that information disseminated through social media platforms is usually framed positively and that social media-mediated transparency poses challenges because of the lack of control over actors that affect the nature of information and communication. The study, therefore, suggests that social media is not a reliable channel for official government communication.</w:t>
      </w:r>
    </w:p>
    <w:p w:rsidR="00000000" w:rsidDel="00000000" w:rsidP="00000000" w:rsidRDefault="00000000" w:rsidRPr="00000000" w14:paraId="000000B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C">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is relevant to the present study because Local Youth Development Offices in the Philippines also rely on social media platforms such as Facebook pages and Messenger groups to manage youth-oriented programs and communicate with youth participants. Similar to the limitations observed by Villodre (2024), LYDOs may lose control over how information is received and accessed when communication depends on social media. Program announcements can be missed or buried in feeds, and there is no mechanism to ensure that information consistently reaches the youth. Although the study examines the transparency and communication limitations of social media in public administrations, it does not address how a dedicated web-based system could restore control over administrative information and make communication less dependent on social media platforms. This gap supports the need for a more structured and consistent platform, such as the proposed system. </w:t>
      </w:r>
    </w:p>
    <w:p w:rsidR="00000000" w:rsidDel="00000000" w:rsidP="00000000" w:rsidRDefault="00000000" w:rsidRPr="00000000" w14:paraId="000000BD">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Youth Participation and Barriers in Local Governance</w:t>
      </w:r>
    </w:p>
    <w:p w:rsidR="00000000" w:rsidDel="00000000" w:rsidP="00000000" w:rsidRDefault="00000000" w:rsidRPr="00000000" w14:paraId="000000BF">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Youth participation plays an important role in local governance because it allows young people to take part in community activities, decision-making, and leadership development. When youth are actively involved, they become more aware of social issues, develop a sense of responsibility, and build stronger connections with their communities. However, for youth participation to be effective, it should not only focus on involvement but also consider how activities are organized, supported, and assessed over time.</w:t>
      </w:r>
    </w:p>
    <w:p w:rsidR="00000000" w:rsidDel="00000000" w:rsidP="00000000" w:rsidRDefault="00000000" w:rsidRPr="00000000" w14:paraId="000000C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Augsberger et al. (2017) examined youth councils in municipal governments by looking at their activities, outcomes, and challenges. The study found that youth councils give young individuals opportunities to participate in governance through activities such as attending meetings, conducting outreach, engaging in community service, and contributing to local initiatives. As a result, participants developed better civic awareness, leadership skills, confidence, and decision-making abilities. However, the study also pointed out several challenges, including strong adult influence in decision-making, limited diversity among participants, difficulties in outreach, and organizational constraints that can limit meaningful youth participation.</w:t>
      </w:r>
    </w:p>
    <w:p w:rsidR="00000000" w:rsidDel="00000000" w:rsidP="00000000" w:rsidRDefault="00000000" w:rsidRPr="00000000" w14:paraId="000000C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3">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While the study clearly identifies the benefits and challenges of youth participation, it does not provide a specific system or mechanism for systematically tracking participation, monitoring participation, or addressing these barriers through structured data management. This gap highlights the need for a digital solution that can support the organization, monitoring, and evaluation of youth participation at the local level. These findings are relevant to the present study because they show that while youth participation programs are beneficial, they also face challenges that can affect their overall effectiveness. In many cases, participation is not systematically documented or evaluated, making it difficult to identify gaps and improve programs. The proposed system responds to this need by providing a centralized platform that organizes youth program data, tracks participation, and supports transparency reporting. Through these features, the system can help Local Youth Development Offices better manage youth activities, monitor participation, and improve the implementation of youth programs.</w:t>
      </w:r>
    </w:p>
    <w:p w:rsidR="00000000" w:rsidDel="00000000" w:rsidP="00000000" w:rsidRDefault="00000000" w:rsidRPr="00000000" w14:paraId="000000C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role of Local Youth Development Offices further reinforces the importance of organized youth participation. LYDOs serve as the main organizations that implement youth programs while encouraging youth participation in community service projects. The Sangguniang Kabataan Reform Act (RA 10742) established LYDOs to execute youth programs and assist youth groups, while promoting leadership development and participation activities.</w:t>
      </w:r>
    </w:p>
    <w:p w:rsidR="00000000" w:rsidDel="00000000" w:rsidP="00000000" w:rsidRDefault="00000000" w:rsidRPr="00000000" w14:paraId="000000C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Valenzuela (2025) examined the operational methods of the Local Youth Development Offices in Lumban, Laguna. The study evaluated five aspects of LYDO operations, including inclusiveness, program development, community partnership, resource provision, and advocacy, using descriptive statistics and Pearson’s correlation coefficient to determine the relationships among variables. The findings revealed that the strongest relationships were between program development and youth participation, and between community partnerships and community cohesion. However, the findings also suggest the need for better monitoring systems for youth participation and program implementation to improve the assessment of program impacts and guide improvements. This limitation is relevant to the present study since the proposed system aims to provide a centralized platform that manages youth programs, participation tracking, and transparency reports, thereby addressing monitoring and evaluation problems through digital record management of program operations and participant records.</w:t>
      </w:r>
    </w:p>
    <w:p w:rsidR="00000000" w:rsidDel="00000000" w:rsidP="00000000" w:rsidRDefault="00000000" w:rsidRPr="00000000" w14:paraId="000000C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Youth perception of governance structures is another important dimension of participation. Castillo et al. (2024) examined the demographics, perceptions, and participation of youth in relation to the effectiveness of the Sangguniang Kabataan. Using survey data, the researchers studied youth participation levels and identified factors that affect young people’s involvement in SK-led programs and activities. The findings showed that respondents acknowledge the significance of SK as a youth representation system in local governance. However, the study also found that there are areas that need improvement for better effectiveness, particularly through stronger implementation of youth-focused programs and initiatives.</w:t>
      </w:r>
    </w:p>
    <w:p w:rsidR="00000000" w:rsidDel="00000000" w:rsidP="00000000" w:rsidRDefault="00000000" w:rsidRPr="00000000" w14:paraId="000000C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B">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study further identified barriers to youth participation, including ineffective communication about programs and the inability of some youth to participate because of time restrictions. To address these concerns, the researchers recommended improving communication methods to increase awareness and participation in SK programs and activities. In line with this recommendation, the proposed system focuses on improving communication with youth through a centralized platform that enables users to access program information, events, organizations, and participation opportunities more easily. In this way, the study supports the need for a system that not only informs youth but also encourages their active and sustained involvement in local governance.</w:t>
      </w:r>
    </w:p>
    <w:p w:rsidR="00000000" w:rsidDel="00000000" w:rsidP="00000000" w:rsidRDefault="00000000" w:rsidRPr="00000000" w14:paraId="000000C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D">
      <w:pPr>
        <w:spacing w:after="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E-Government and Digital Platforms for Local Service Delivery</w:t>
      </w:r>
    </w:p>
    <w:p w:rsidR="00000000" w:rsidDel="00000000" w:rsidP="00000000" w:rsidRDefault="00000000" w:rsidRPr="00000000" w14:paraId="000000CE">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adoption of electronic government or e-government systems has become an important strategy for improving governance, administrative efficiency, and public service delivery in local government units. E-government platforms enable government agencies to use digital technologies to streamline processes, improve transparency, and enhance communication between public institutions and citizens.</w:t>
      </w:r>
    </w:p>
    <w:p w:rsidR="00000000" w:rsidDel="00000000" w:rsidP="00000000" w:rsidRDefault="00000000" w:rsidRPr="00000000" w14:paraId="000000C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Barrios and Moreno (2024) examined the effectiveness of e-government initiatives in addressing governance challenges in the City of Zamboanga, Philippines. Using a mixed-methods approach, the study analyzed how digital tools such as e-services portals and open data platforms contributed to improving administrative processes and public service delivery. The findings showed that the use of digital platforms helped reduce processing time, improve transparency, and support more efficient management of government services. These findings are relevant to the proposed study because digital systems can support more efficient coordination and documentation of government programs. In the context of youth governance, a dedicated information system can assist Local Youth Development Offices in organizing youth program information, monitoring participation, and maintaining structured records of youth initiatives.</w:t>
      </w:r>
    </w:p>
    <w:p w:rsidR="00000000" w:rsidDel="00000000" w:rsidP="00000000" w:rsidRDefault="00000000" w:rsidRPr="00000000" w14:paraId="000000D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2">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Despite these improvements, the study also identified challenges such as the digital divide, resistance to organizational change, and concerns related to data security. These limitations highlight the need for digital governance systems that are accessible, adaptable to existing administrative processes, and capable of protecting sensitive information. The proposed system addresses these challenges by providing a web-based platform that can be accessed through standard internet browsers, reducing technical barriers to system adoption. The system also introduces structured tools for managing youth programs and participation records, which can gradually replace manual documentation practices and support the transition to more efficient digital workflows. In addition, the implementation of authentication and role-based access control mechanisms helps protect administrative data and ensure that sensitive program information is accessible only to authorized users.</w:t>
      </w:r>
    </w:p>
    <w:p w:rsidR="00000000" w:rsidDel="00000000" w:rsidP="00000000" w:rsidRDefault="00000000" w:rsidRPr="00000000" w14:paraId="000000D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Government information websites also serve as the public-facing foundation of digital government service delivery because they organize official information into a form that citizens can more easily find, understand, and use. When government-related information is scattered across different platforms or communicated through disconnected channels, users may struggle to identify official procedures, locate reliable records, and access services efficiently. For this reason, the quality of government information websites matters not only for communication but also for accessibility, trust, and the overall usability of public services.</w:t>
      </w:r>
    </w:p>
    <w:p w:rsidR="00000000" w:rsidDel="00000000" w:rsidP="00000000" w:rsidRDefault="00000000" w:rsidRPr="00000000" w14:paraId="000000D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Organisation for Economic Co-operation and Development (OECD, 2023) explained that effective government information websites help improve communication between institutions and the public, simplify interactions, and support better access to services for citizens and businesses. The report emphasized that these platforms should be user-centered, authoritative, easy to navigate, comprehensive, searchable, and regularly improved based on user needs. It also noted that government websites may evolve into more advanced digital platforms, including transactional portals that allow users not only to view information but also to interact with services in a more organized and responsive environment. These principles show that a government website is not merely a posting page, but an important digital structure for making public information and services clearer and more accessible.</w:t>
      </w:r>
    </w:p>
    <w:p w:rsidR="00000000" w:rsidDel="00000000" w:rsidP="00000000" w:rsidRDefault="00000000" w:rsidRPr="00000000" w14:paraId="000000D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literature is relevant to the proposed system because it highlights the importance of having a centralized and well-structured platform for delivering public information and services. Similar to the issues identified by OECD (2023), current practices in Local Youth Development Offices rely on fragmented communication channels such as social media, spreadsheets, and manual documentation, which can lead to inconsistency and difficulty in accessing reliable information. The proposed system addresses these challenges by providing a web-based platform where youth programs, participation records, and reports are organized and accessible in one place. By doing so, the system supports improved accessibility, clearer communication, and more efficient service delivery for both youth participants and administrators.</w:t>
      </w:r>
    </w:p>
    <w:p w:rsidR="00000000" w:rsidDel="00000000" w:rsidP="00000000" w:rsidRDefault="00000000" w:rsidRPr="00000000" w14:paraId="000000D9">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Further support for integrated digital platforms is found in the study of Mao and Zhu (2025), which examined how e-government integration contributes to the quality and equality of local public services in China. The study analyzed the relationship between integrated e-government platforms and public service delivery across local governments, focusing on how digital integration affects service quality, accessibility, and fairness. The findings showed that e-government integration significantly improves the overall quality of local public services and helps reduce inequality in service access, particularly in areas where administrative fragmentation previously hindered consistent delivery.</w:t>
      </w:r>
    </w:p>
    <w:p w:rsidR="00000000" w:rsidDel="00000000" w:rsidP="00000000" w:rsidRDefault="00000000" w:rsidRPr="00000000" w14:paraId="000000D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C">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This is relevant to the present study because Local Youth Development Offices in the Philippines also manage youth-oriented programs and participant records through fragmented and non-integrated means, such as manual documentation and disconnected social media platforms. Similar to the findings of Mao and Zhu (2025), LYDOs face inefficiencies caused by the absence of a unified system to manage youth programs, participant data, and service delivery. Inconsistent record-keeping, lack of centralized program tracking, and unequal access to program information among youth participants reflect the same fragmentation identified in the study as a barrier to quality public service. Although the study shows that e-government integration enhances service quality and equality at the local government level, it does not address how a dedicated web-based system specifically designed for youth development offices could operationalize this integration at the program level. This gap strengthens the rationale for the proposed system.</w:t>
      </w:r>
    </w:p>
    <w:p w:rsidR="00000000" w:rsidDel="00000000" w:rsidP="00000000" w:rsidRDefault="00000000" w:rsidRPr="00000000" w14:paraId="000000D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E">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Digital platforms for local service delivery must also consider data governance and privacy. Digital public service systems need proper data management and privacy protection to establish trust and ensure the ethical handling of information. In the context of Local Youth Development Offices, data governance is especially important because these offices manage sensitive information related to youth participants, organizations, and program activities. Governance frameworks establish requirements for personal data collection, storage, and processing to meet legal standards while allowing government systems to operate in a transparent and trustworthy manner.</w:t>
      </w:r>
    </w:p>
    <w:p w:rsidR="00000000" w:rsidDel="00000000" w:rsidP="00000000" w:rsidRDefault="00000000" w:rsidRPr="00000000" w14:paraId="000000D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Kiram et al. (2024) studied data governance and privacy practices in Sulu, Philippines, to show how digital public service delivery creates trust and enables accountable government operations. The study found that effective data governance requires organizations to establish data protection policies, secure information systems, accountability mechanisms, and methods that maintain transparency in public data handling. It also emphasized that privacy measures must comply with the Data Privacy Act of 2012 in order to protect citizen data and build trust in digital government services.</w:t>
      </w:r>
    </w:p>
    <w:p w:rsidR="00000000" w:rsidDel="00000000" w:rsidP="00000000" w:rsidRDefault="00000000" w:rsidRPr="00000000" w14:paraId="000000E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findings are relevant to the present study because the proposed system involves managing youth-related data, including participation records and organizational information. The study supports the integration of strong data governance and privacy features within the system to ensure secure data handling and restricted access for authorized users only. The implementation of these measures will enable the proposed system to establish trust, accountability, and transparency while protecting youth program data in accordance with data protection laws.</w:t>
      </w:r>
    </w:p>
    <w:p w:rsidR="00000000" w:rsidDel="00000000" w:rsidP="00000000" w:rsidRDefault="00000000" w:rsidRPr="00000000" w14:paraId="000000E3">
      <w:pPr>
        <w:spacing w:after="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E4">
      <w:pPr>
        <w:spacing w:after="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Synthesis</w:t>
      </w:r>
    </w:p>
    <w:p w:rsidR="00000000" w:rsidDel="00000000" w:rsidP="00000000" w:rsidRDefault="00000000" w:rsidRPr="00000000" w14:paraId="000000E5">
      <w:pPr>
        <w:spacing w:after="0" w:lineRule="auto"/>
        <w:ind w:left="0" w:firstLine="720"/>
        <w:jc w:val="both"/>
        <w:rPr>
          <w:rFonts w:ascii="Arial" w:cs="Arial" w:eastAsia="Arial" w:hAnsi="Arial"/>
        </w:rPr>
      </w:pPr>
      <w:r w:rsidDel="00000000" w:rsidR="00000000" w:rsidRPr="00000000">
        <w:rPr>
          <w:rFonts w:ascii="Arial" w:cs="Arial" w:eastAsia="Arial" w:hAnsi="Arial"/>
          <w:rtl w:val="0"/>
        </w:rPr>
        <w:t xml:space="preserve">The reviewed literature shows that transparency and accountability, youth participation, and e-government service delivery are closely interconnected in local governance. Studies consistently emphasize that access to reliable information, meaningful youth participation, and well-designed digital platforms contribute to stronger public service outcomes and more responsive governance. At the same time, the literature also reveals recurring limitations, such as fragmented communication channels, weak monitoring of youth participation, dependence on social media, administrative inefficiencies, and concerns related to privacy and data security. While the cited studies discuss these issues in different contexts, none specifically provides an integrated digital platform tailored to the operational needs of the Local Youth Development Offices. These gaps support the development of a centralized progressive web application that can centralize youth program information, improve communication and participation tracking, promote transparency, and strengthen digital service delivery for local youth governance.</w:t>
      </w:r>
    </w:p>
    <w:p w:rsidR="00000000" w:rsidDel="00000000" w:rsidP="00000000" w:rsidRDefault="00000000" w:rsidRPr="00000000" w14:paraId="000000E6">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spacing w:after="0"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0E9">
      <w:pPr>
        <w:spacing w:after="0" w:lineRule="auto"/>
        <w:jc w:val="both"/>
        <w:rPr>
          <w:rFonts w:ascii="Arial" w:cs="Arial" w:eastAsia="Arial" w:hAnsi="Arial"/>
        </w:rPr>
      </w:pPr>
      <w:r w:rsidDel="00000000" w:rsidR="00000000" w:rsidRPr="00000000">
        <w:rPr>
          <w:rFonts w:ascii="Arial" w:cs="Arial" w:eastAsia="Arial" w:hAnsi="Arial"/>
          <w:rtl w:val="0"/>
        </w:rPr>
        <w:t xml:space="preserve">Augsberger, A., Collins, M. E., &amp; Gecker, W. (2017). Best practices for youth engagement in municipal government. National Civic Review, 106(1), 9-16. </w:t>
      </w:r>
      <w:hyperlink r:id="rId8">
        <w:r w:rsidDel="00000000" w:rsidR="00000000" w:rsidRPr="00000000">
          <w:rPr>
            <w:rFonts w:ascii="Arial" w:cs="Arial" w:eastAsia="Arial" w:hAnsi="Arial"/>
            <w:color w:val="1155cc"/>
            <w:u w:val="single"/>
            <w:rtl w:val="0"/>
          </w:rPr>
          <w:t xml:space="preserve">https://doi.org/10.1002/ncr.21304</w:t>
        </w:r>
      </w:hyperlink>
      <w:r w:rsidDel="00000000" w:rsidR="00000000" w:rsidRPr="00000000">
        <w:rPr>
          <w:rFonts w:ascii="Arial" w:cs="Arial" w:eastAsia="Arial" w:hAnsi="Arial"/>
          <w:rtl w:val="0"/>
        </w:rPr>
        <w:t xml:space="preserve"> </w:t>
      </w:r>
    </w:p>
    <w:p w:rsidR="00000000" w:rsidDel="00000000" w:rsidP="00000000" w:rsidRDefault="00000000" w:rsidRPr="00000000" w14:paraId="000000E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Rule="auto"/>
        <w:jc w:val="both"/>
        <w:rPr>
          <w:rFonts w:ascii="Arial" w:cs="Arial" w:eastAsia="Arial" w:hAnsi="Arial"/>
        </w:rPr>
      </w:pPr>
      <w:r w:rsidDel="00000000" w:rsidR="00000000" w:rsidRPr="00000000">
        <w:rPr>
          <w:rFonts w:ascii="Arial" w:cs="Arial" w:eastAsia="Arial" w:hAnsi="Arial"/>
          <w:rtl w:val="0"/>
        </w:rPr>
        <w:t xml:space="preserve">Barrios, N. A., &amp; Moreno, F. (2024). Evaluating the efficacy of e-government initiatives in addressing local governance challenges in the City of Zamboanga, Philippines. Munich Personal RePEc Archive. </w:t>
      </w:r>
      <w:hyperlink r:id="rId9">
        <w:r w:rsidDel="00000000" w:rsidR="00000000" w:rsidRPr="00000000">
          <w:rPr>
            <w:rFonts w:ascii="Arial" w:cs="Arial" w:eastAsia="Arial" w:hAnsi="Arial"/>
            <w:color w:val="1155cc"/>
            <w:u w:val="single"/>
            <w:rtl w:val="0"/>
          </w:rPr>
          <w:t xml:space="preserve">https://mpra.ub.uni-muenchen.de/122792/</w:t>
        </w:r>
      </w:hyperlink>
      <w:r w:rsidDel="00000000" w:rsidR="00000000" w:rsidRPr="00000000">
        <w:rPr>
          <w:rtl w:val="0"/>
        </w:rPr>
      </w:r>
    </w:p>
    <w:p w:rsidR="00000000" w:rsidDel="00000000" w:rsidP="00000000" w:rsidRDefault="00000000" w:rsidRPr="00000000" w14:paraId="000000E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Rule="auto"/>
        <w:jc w:val="both"/>
        <w:rPr>
          <w:rFonts w:ascii="Arial" w:cs="Arial" w:eastAsia="Arial" w:hAnsi="Arial"/>
        </w:rPr>
      </w:pPr>
      <w:r w:rsidDel="00000000" w:rsidR="00000000" w:rsidRPr="00000000">
        <w:rPr>
          <w:rFonts w:ascii="Arial" w:cs="Arial" w:eastAsia="Arial" w:hAnsi="Arial"/>
          <w:rtl w:val="0"/>
        </w:rPr>
        <w:t xml:space="preserve">Castillo, M. A. I., Cruz, D. C., Lapaz, J. L., Marcha, K. G., Padillo, J. V., Vegiga, F. J., &amp; Vallespin, M. R. D. (2024). Assessing demographics, perceptions, and participation: A study on Sangguniang Kabataan (SK) effectiveness and improvement suggestions. International Journal of Current Science Research and Review, 7(5), 2618-2625. </w:t>
      </w:r>
      <w:hyperlink r:id="rId10">
        <w:r w:rsidDel="00000000" w:rsidR="00000000" w:rsidRPr="00000000">
          <w:rPr>
            <w:rFonts w:ascii="Arial" w:cs="Arial" w:eastAsia="Arial" w:hAnsi="Arial"/>
            <w:color w:val="1155cc"/>
            <w:u w:val="single"/>
            <w:rtl w:val="0"/>
          </w:rPr>
          <w:t xml:space="preserve">https://doi.org/10.47191/ijcsrr/v7-i5-22</w:t>
        </w:r>
      </w:hyperlink>
      <w:r w:rsidDel="00000000" w:rsidR="00000000" w:rsidRPr="00000000">
        <w:rPr>
          <w:rFonts w:ascii="Arial" w:cs="Arial" w:eastAsia="Arial" w:hAnsi="Arial"/>
          <w:rtl w:val="0"/>
        </w:rPr>
        <w:t xml:space="preserve"> </w:t>
      </w:r>
    </w:p>
    <w:p w:rsidR="00000000" w:rsidDel="00000000" w:rsidP="00000000" w:rsidRDefault="00000000" w:rsidRPr="00000000" w14:paraId="000000E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lineRule="auto"/>
        <w:jc w:val="both"/>
        <w:rPr>
          <w:rFonts w:ascii="Arial" w:cs="Arial" w:eastAsia="Arial" w:hAnsi="Arial"/>
        </w:rPr>
      </w:pPr>
      <w:r w:rsidDel="00000000" w:rsidR="00000000" w:rsidRPr="00000000">
        <w:rPr>
          <w:rFonts w:ascii="Arial" w:cs="Arial" w:eastAsia="Arial" w:hAnsi="Arial"/>
          <w:rtl w:val="0"/>
        </w:rPr>
        <w:t xml:space="preserve">IRR REPUBLIC ACT NO. 11032 (CSC, ARTA, DTI Joint Memorandum Circular No. 2019-001) - THE IMPLEMENTING RULES AND REGULATIONS OF REPUBLIC ACT NO. 11032 OTHERWISE KNOWN AS THE “EASE OF DOING BUSINESS AND EFFICIENT GOVERNMENT SERVICE DELIVERY ACT OF 2018” - Supreme Court E-Library. (n.d.). </w:t>
      </w:r>
      <w:hyperlink r:id="rId11">
        <w:r w:rsidDel="00000000" w:rsidR="00000000" w:rsidRPr="00000000">
          <w:rPr>
            <w:rFonts w:ascii="Arial" w:cs="Arial" w:eastAsia="Arial" w:hAnsi="Arial"/>
            <w:color w:val="1155cc"/>
            <w:u w:val="single"/>
            <w:rtl w:val="0"/>
          </w:rPr>
          <w:t xml:space="preserve">https://elibrary.judiciary.gov.ph/thebookshelf/showdocs/2/96391</w:t>
        </w:r>
      </w:hyperlink>
      <w:r w:rsidDel="00000000" w:rsidR="00000000" w:rsidRPr="00000000">
        <w:rPr>
          <w:rtl w:val="0"/>
        </w:rPr>
      </w:r>
    </w:p>
    <w:p w:rsidR="00000000" w:rsidDel="00000000" w:rsidP="00000000" w:rsidRDefault="00000000" w:rsidRPr="00000000" w14:paraId="000000F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lineRule="auto"/>
        <w:jc w:val="both"/>
        <w:rPr>
          <w:rFonts w:ascii="Arial" w:cs="Arial" w:eastAsia="Arial" w:hAnsi="Arial"/>
        </w:rPr>
      </w:pPr>
      <w:r w:rsidDel="00000000" w:rsidR="00000000" w:rsidRPr="00000000">
        <w:rPr>
          <w:rFonts w:ascii="Arial" w:cs="Arial" w:eastAsia="Arial" w:hAnsi="Arial"/>
          <w:rtl w:val="0"/>
        </w:rPr>
        <w:t xml:space="preserve">Kiram, D. A. K., Kiram, M. M., Hadjibun, J. A., &amp; Taraji, M. (2024). Data governance and privacy in Sulu, Philippines: Building trust and ensuring accountability in digital public service delivery. Open Access Indonesia Journal of Social Sciences, 8(1), 1952-1966. </w:t>
      </w:r>
      <w:hyperlink r:id="rId12">
        <w:r w:rsidDel="00000000" w:rsidR="00000000" w:rsidRPr="00000000">
          <w:rPr>
            <w:rFonts w:ascii="Arial" w:cs="Arial" w:eastAsia="Arial" w:hAnsi="Arial"/>
            <w:color w:val="1155cc"/>
            <w:u w:val="single"/>
            <w:rtl w:val="0"/>
          </w:rPr>
          <w:t xml:space="preserve">https://doi.org/10.37275/oaijss.v8i1.283</w:t>
        </w:r>
      </w:hyperlink>
      <w:r w:rsidDel="00000000" w:rsidR="00000000" w:rsidRPr="00000000">
        <w:rPr>
          <w:rFonts w:ascii="Arial" w:cs="Arial" w:eastAsia="Arial" w:hAnsi="Arial"/>
          <w:rtl w:val="0"/>
        </w:rPr>
        <w:t xml:space="preserve"> </w:t>
      </w:r>
    </w:p>
    <w:p w:rsidR="00000000" w:rsidDel="00000000" w:rsidP="00000000" w:rsidRDefault="00000000" w:rsidRPr="00000000" w14:paraId="000000F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Rule="auto"/>
        <w:jc w:val="both"/>
        <w:rPr>
          <w:rFonts w:ascii="Arial" w:cs="Arial" w:eastAsia="Arial" w:hAnsi="Arial"/>
        </w:rPr>
      </w:pPr>
      <w:r w:rsidDel="00000000" w:rsidR="00000000" w:rsidRPr="00000000">
        <w:rPr>
          <w:rFonts w:ascii="Arial" w:cs="Arial" w:eastAsia="Arial" w:hAnsi="Arial"/>
          <w:rtl w:val="0"/>
        </w:rPr>
        <w:t xml:space="preserve">Mao, Z., &amp; Zhu, Y. (2025). Does e-government integration contribute to the quality and equality of local public services? Empirical evidence from China. Humanities and Social Sciences Communications, 12(1), Article 242. </w:t>
      </w:r>
      <w:hyperlink r:id="rId13">
        <w:r w:rsidDel="00000000" w:rsidR="00000000" w:rsidRPr="00000000">
          <w:rPr>
            <w:rFonts w:ascii="Arial" w:cs="Arial" w:eastAsia="Arial" w:hAnsi="Arial"/>
            <w:color w:val="1155cc"/>
            <w:u w:val="single"/>
            <w:rtl w:val="0"/>
          </w:rPr>
          <w:t xml:space="preserve">https://doi.org/10.1057/s41599-025-04539-y</w:t>
        </w:r>
      </w:hyperlink>
      <w:r w:rsidDel="00000000" w:rsidR="00000000" w:rsidRPr="00000000">
        <w:rPr>
          <w:rFonts w:ascii="Arial" w:cs="Arial" w:eastAsia="Arial" w:hAnsi="Arial"/>
          <w:rtl w:val="0"/>
        </w:rPr>
        <w:t xml:space="preserve">   </w:t>
      </w:r>
    </w:p>
    <w:p w:rsidR="00000000" w:rsidDel="00000000" w:rsidP="00000000" w:rsidRDefault="00000000" w:rsidRPr="00000000" w14:paraId="000000F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lineRule="auto"/>
        <w:jc w:val="both"/>
        <w:rPr>
          <w:rFonts w:ascii="Arial" w:cs="Arial" w:eastAsia="Arial" w:hAnsi="Arial"/>
        </w:rPr>
      </w:pPr>
      <w:r w:rsidDel="00000000" w:rsidR="00000000" w:rsidRPr="00000000">
        <w:rPr>
          <w:rFonts w:ascii="Arial" w:cs="Arial" w:eastAsia="Arial" w:hAnsi="Arial"/>
          <w:rtl w:val="0"/>
        </w:rPr>
        <w:t xml:space="preserve">OECD. (2023). Effective government information websites. OECD Publishing. </w:t>
      </w:r>
      <w:hyperlink r:id="rId14">
        <w:r w:rsidDel="00000000" w:rsidR="00000000" w:rsidRPr="00000000">
          <w:rPr>
            <w:rFonts w:ascii="Arial" w:cs="Arial" w:eastAsia="Arial" w:hAnsi="Arial"/>
            <w:color w:val="1155cc"/>
            <w:u w:val="single"/>
            <w:rtl w:val="0"/>
          </w:rPr>
          <w:t xml:space="preserve">https://doi.org/10.1787/ac325b03-en</w:t>
        </w:r>
      </w:hyperlink>
      <w:r w:rsidDel="00000000" w:rsidR="00000000" w:rsidRPr="00000000">
        <w:rPr>
          <w:rFonts w:ascii="Arial" w:cs="Arial" w:eastAsia="Arial" w:hAnsi="Arial"/>
          <w:rtl w:val="0"/>
        </w:rPr>
        <w:t xml:space="preserve"> </w:t>
      </w:r>
    </w:p>
    <w:p w:rsidR="00000000" w:rsidDel="00000000" w:rsidP="00000000" w:rsidRDefault="00000000" w:rsidRPr="00000000" w14:paraId="000000F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7">
      <w:pPr>
        <w:spacing w:after="0" w:lineRule="auto"/>
        <w:jc w:val="both"/>
        <w:rPr>
          <w:rFonts w:ascii="Arial" w:cs="Arial" w:eastAsia="Arial" w:hAnsi="Arial"/>
        </w:rPr>
      </w:pPr>
      <w:r w:rsidDel="00000000" w:rsidR="00000000" w:rsidRPr="00000000">
        <w:rPr>
          <w:rFonts w:ascii="Arial" w:cs="Arial" w:eastAsia="Arial" w:hAnsi="Arial"/>
          <w:rtl w:val="0"/>
        </w:rPr>
        <w:t xml:space="preserve">Ong, D. U., &amp; Gabriel, A. G. (2018). Linking transparency and accountability to local legislative performance in the Province of Nueva Ecija in the Philippines. Journal of Public Administration and Governance, 8(2). </w:t>
      </w:r>
      <w:hyperlink r:id="rId15">
        <w:r w:rsidDel="00000000" w:rsidR="00000000" w:rsidRPr="00000000">
          <w:rPr>
            <w:rFonts w:ascii="Arial" w:cs="Arial" w:eastAsia="Arial" w:hAnsi="Arial"/>
            <w:color w:val="1155cc"/>
            <w:u w:val="single"/>
            <w:rtl w:val="0"/>
          </w:rPr>
          <w:t xml:space="preserve">https://doi.org/10.5296/jpag.v8i2.13345</w:t>
        </w:r>
      </w:hyperlink>
      <w:r w:rsidDel="00000000" w:rsidR="00000000" w:rsidRPr="00000000">
        <w:rPr>
          <w:rtl w:val="0"/>
        </w:rPr>
      </w:r>
    </w:p>
    <w:p w:rsidR="00000000" w:rsidDel="00000000" w:rsidP="00000000" w:rsidRDefault="00000000" w:rsidRPr="00000000" w14:paraId="000000F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9">
      <w:pPr>
        <w:spacing w:after="0" w:lineRule="auto"/>
        <w:jc w:val="both"/>
        <w:rPr>
          <w:rFonts w:ascii="Arial" w:cs="Arial" w:eastAsia="Arial" w:hAnsi="Arial"/>
        </w:rPr>
      </w:pPr>
      <w:r w:rsidDel="00000000" w:rsidR="00000000" w:rsidRPr="00000000">
        <w:rPr>
          <w:rFonts w:ascii="Arial" w:cs="Arial" w:eastAsia="Arial" w:hAnsi="Arial"/>
          <w:rtl w:val="0"/>
        </w:rPr>
        <w:t xml:space="preserve">Oroña-Cabagay, A., Abante, M. V., &amp; Vigonte, F. G. (2025). Digital transparency and citizen access: A review of the right to information in Philippine governance. SSRN. </w:t>
      </w:r>
      <w:hyperlink r:id="rId16">
        <w:r w:rsidDel="00000000" w:rsidR="00000000" w:rsidRPr="00000000">
          <w:rPr>
            <w:rFonts w:ascii="Arial" w:cs="Arial" w:eastAsia="Arial" w:hAnsi="Arial"/>
            <w:color w:val="1155cc"/>
            <w:u w:val="single"/>
            <w:rtl w:val="0"/>
          </w:rPr>
          <w:t xml:space="preserve">https://doi.org/10.2139/ssrn.526747</w:t>
        </w:r>
      </w:hyperlink>
      <w:r w:rsidDel="00000000" w:rsidR="00000000" w:rsidRPr="00000000">
        <w:rPr>
          <w:rFonts w:ascii="Arial" w:cs="Arial" w:eastAsia="Arial" w:hAnsi="Arial"/>
          <w:rtl w:val="0"/>
        </w:rPr>
        <w:t xml:space="preserve">   </w:t>
      </w:r>
    </w:p>
    <w:p w:rsidR="00000000" w:rsidDel="00000000" w:rsidP="00000000" w:rsidRDefault="00000000" w:rsidRPr="00000000" w14:paraId="000000F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B">
      <w:pPr>
        <w:spacing w:after="0" w:lineRule="auto"/>
        <w:jc w:val="both"/>
        <w:rPr>
          <w:rFonts w:ascii="Arial" w:cs="Arial" w:eastAsia="Arial" w:hAnsi="Arial"/>
        </w:rPr>
      </w:pPr>
      <w:r w:rsidDel="00000000" w:rsidR="00000000" w:rsidRPr="00000000">
        <w:rPr>
          <w:rFonts w:ascii="Arial" w:cs="Arial" w:eastAsia="Arial" w:hAnsi="Arial"/>
          <w:rtl w:val="0"/>
        </w:rPr>
        <w:t xml:space="preserve">Republic Act No. 10173 | GOVPH. (2012, August 15). Official Gazette of the Republic of the Philippines. </w:t>
      </w:r>
      <w:hyperlink r:id="rId17">
        <w:r w:rsidDel="00000000" w:rsidR="00000000" w:rsidRPr="00000000">
          <w:rPr>
            <w:rFonts w:ascii="Arial" w:cs="Arial" w:eastAsia="Arial" w:hAnsi="Arial"/>
            <w:color w:val="1155cc"/>
            <w:u w:val="single"/>
            <w:rtl w:val="0"/>
          </w:rPr>
          <w:t xml:space="preserve">https://www.officialgazette.gov.ph/2012/08/15/republic-act-no-10173/</w:t>
        </w:r>
      </w:hyperlink>
      <w:r w:rsidDel="00000000" w:rsidR="00000000" w:rsidRPr="00000000">
        <w:rPr>
          <w:rtl w:val="0"/>
        </w:rPr>
      </w:r>
    </w:p>
    <w:p w:rsidR="00000000" w:rsidDel="00000000" w:rsidP="00000000" w:rsidRDefault="00000000" w:rsidRPr="00000000" w14:paraId="000000F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Rule="auto"/>
        <w:jc w:val="both"/>
        <w:rPr>
          <w:rFonts w:ascii="Arial" w:cs="Arial" w:eastAsia="Arial" w:hAnsi="Arial"/>
        </w:rPr>
      </w:pPr>
      <w:r w:rsidDel="00000000" w:rsidR="00000000" w:rsidRPr="00000000">
        <w:rPr>
          <w:rFonts w:ascii="Arial" w:cs="Arial" w:eastAsia="Arial" w:hAnsi="Arial"/>
          <w:rtl w:val="0"/>
        </w:rPr>
        <w:t xml:space="preserve">Republic Act No. 11768 | GOVPH. (2022, May 6). Official Gazette of the Republic of the Philippines. </w:t>
      </w:r>
      <w:hyperlink r:id="rId18">
        <w:r w:rsidDel="00000000" w:rsidR="00000000" w:rsidRPr="00000000">
          <w:rPr>
            <w:rFonts w:ascii="Arial" w:cs="Arial" w:eastAsia="Arial" w:hAnsi="Arial"/>
            <w:color w:val="1155cc"/>
            <w:u w:val="single"/>
            <w:rtl w:val="0"/>
          </w:rPr>
          <w:t xml:space="preserve">https://www.officialgazette.gov.ph/2022/05/06/republic-act-no-11768/</w:t>
        </w:r>
      </w:hyperlink>
      <w:r w:rsidDel="00000000" w:rsidR="00000000" w:rsidRPr="00000000">
        <w:rPr>
          <w:rtl w:val="0"/>
        </w:rPr>
      </w:r>
    </w:p>
    <w:p w:rsidR="00000000" w:rsidDel="00000000" w:rsidP="00000000" w:rsidRDefault="00000000" w:rsidRPr="00000000" w14:paraId="000000F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Rule="auto"/>
        <w:jc w:val="both"/>
        <w:rPr>
          <w:rFonts w:ascii="Arial" w:cs="Arial" w:eastAsia="Arial" w:hAnsi="Arial"/>
        </w:rPr>
      </w:pPr>
      <w:r w:rsidDel="00000000" w:rsidR="00000000" w:rsidRPr="00000000">
        <w:rPr>
          <w:rFonts w:ascii="Arial" w:cs="Arial" w:eastAsia="Arial" w:hAnsi="Arial"/>
          <w:rtl w:val="0"/>
        </w:rPr>
        <w:t xml:space="preserve">Republic Act No. 12254, E-Governance Act (2025). Official Gazette of the Republic of the Philippines. </w:t>
      </w:r>
      <w:hyperlink r:id="rId19">
        <w:r w:rsidDel="00000000" w:rsidR="00000000" w:rsidRPr="00000000">
          <w:rPr>
            <w:rFonts w:ascii="Arial" w:cs="Arial" w:eastAsia="Arial" w:hAnsi="Arial"/>
            <w:color w:val="1155cc"/>
            <w:u w:val="single"/>
            <w:rtl w:val="0"/>
          </w:rPr>
          <w:t xml:space="preserve">https://legacy.senate.gov.ph/republic_acts/ra%2012254.pdf</w:t>
        </w:r>
      </w:hyperlink>
      <w:r w:rsidDel="00000000" w:rsidR="00000000" w:rsidRPr="00000000">
        <w:rPr>
          <w:rFonts w:ascii="Arial" w:cs="Arial" w:eastAsia="Arial" w:hAnsi="Arial"/>
          <w:rtl w:val="0"/>
        </w:rPr>
        <w:t xml:space="preserve"> </w:t>
      </w:r>
    </w:p>
    <w:p w:rsidR="00000000" w:rsidDel="00000000" w:rsidP="00000000" w:rsidRDefault="00000000" w:rsidRPr="00000000" w14:paraId="0000010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1">
      <w:pPr>
        <w:spacing w:after="0" w:lineRule="auto"/>
        <w:jc w:val="both"/>
        <w:rPr>
          <w:rFonts w:ascii="Arial" w:cs="Arial" w:eastAsia="Arial" w:hAnsi="Arial"/>
        </w:rPr>
      </w:pPr>
      <w:r w:rsidDel="00000000" w:rsidR="00000000" w:rsidRPr="00000000">
        <w:rPr>
          <w:rFonts w:ascii="Arial" w:cs="Arial" w:eastAsia="Arial" w:hAnsi="Arial"/>
          <w:rtl w:val="0"/>
        </w:rPr>
        <w:t xml:space="preserve">Revised Rules and Regulations implementing Republic Act (RA) No. 10742, otherwise known as the “Sangguniang Kabataan Reform Act of 2015,” as amended by RA No. 11768 | GOVPH. (2023, July 21). Official Gazette of the Republic of the Philippines. </w:t>
      </w:r>
      <w:hyperlink r:id="rId20">
        <w:r w:rsidDel="00000000" w:rsidR="00000000" w:rsidRPr="00000000">
          <w:rPr>
            <w:rFonts w:ascii="Arial" w:cs="Arial" w:eastAsia="Arial" w:hAnsi="Arial"/>
            <w:color w:val="1155cc"/>
            <w:u w:val="single"/>
            <w:rtl w:val="0"/>
          </w:rPr>
          <w:t xml:space="preserve">https://www.officialgazette.gov.ph/2023/07/21/revised-rules-and-regulations-implementing-republic-act-ra-no-10742-otherwise-known-as-the-sangguniang-kabataan-reform-act-of-2015-as-amended-by-ra-no-11768/</w:t>
        </w:r>
      </w:hyperlink>
      <w:r w:rsidDel="00000000" w:rsidR="00000000" w:rsidRPr="00000000">
        <w:rPr>
          <w:rtl w:val="0"/>
        </w:rPr>
      </w:r>
    </w:p>
    <w:p w:rsidR="00000000" w:rsidDel="00000000" w:rsidP="00000000" w:rsidRDefault="00000000" w:rsidRPr="00000000" w14:paraId="0000010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Rule="auto"/>
        <w:jc w:val="both"/>
        <w:rPr>
          <w:rFonts w:ascii="Arial" w:cs="Arial" w:eastAsia="Arial" w:hAnsi="Arial"/>
        </w:rPr>
      </w:pPr>
      <w:r w:rsidDel="00000000" w:rsidR="00000000" w:rsidRPr="00000000">
        <w:rPr>
          <w:rFonts w:ascii="Arial" w:cs="Arial" w:eastAsia="Arial" w:hAnsi="Arial"/>
          <w:rtl w:val="0"/>
        </w:rPr>
        <w:t xml:space="preserve">Valenzuela, A. (2025). Status of local youth development office towards community development and youth engagement: Basis for sustainability plan. International Journal for Multidisciplinary Research, 7(3). </w:t>
      </w:r>
      <w:hyperlink r:id="rId21">
        <w:r w:rsidDel="00000000" w:rsidR="00000000" w:rsidRPr="00000000">
          <w:rPr>
            <w:rFonts w:ascii="Arial" w:cs="Arial" w:eastAsia="Arial" w:hAnsi="Arial"/>
            <w:color w:val="1155cc"/>
            <w:u w:val="single"/>
            <w:rtl w:val="0"/>
          </w:rPr>
          <w:t xml:space="preserve">https://doi.org/10.36948/ijfmr.2025.v07i03.46153</w:t>
        </w:r>
      </w:hyperlink>
      <w:r w:rsidDel="00000000" w:rsidR="00000000" w:rsidRPr="00000000">
        <w:rPr>
          <w:rFonts w:ascii="Arial" w:cs="Arial" w:eastAsia="Arial" w:hAnsi="Arial"/>
          <w:rtl w:val="0"/>
        </w:rPr>
        <w:t xml:space="preserve"> </w:t>
      </w:r>
    </w:p>
    <w:p w:rsidR="00000000" w:rsidDel="00000000" w:rsidP="00000000" w:rsidRDefault="00000000" w:rsidRPr="00000000" w14:paraId="0000010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5">
      <w:pPr>
        <w:spacing w:after="0" w:lineRule="auto"/>
        <w:jc w:val="both"/>
        <w:rPr>
          <w:rFonts w:ascii="Arial" w:cs="Arial" w:eastAsia="Arial" w:hAnsi="Arial"/>
        </w:rPr>
      </w:pPr>
      <w:r w:rsidDel="00000000" w:rsidR="00000000" w:rsidRPr="00000000">
        <w:rPr>
          <w:rFonts w:ascii="Arial" w:cs="Arial" w:eastAsia="Arial" w:hAnsi="Arial"/>
          <w:rtl w:val="0"/>
        </w:rPr>
        <w:t xml:space="preserve">Villodre, J. (2024). A three-model approach to understand social media-mediated transparency in public administrations. International Review of Administrative Sciences, 91(1), 111-129. </w:t>
      </w:r>
      <w:hyperlink r:id="rId22">
        <w:r w:rsidDel="00000000" w:rsidR="00000000" w:rsidRPr="00000000">
          <w:rPr>
            <w:rFonts w:ascii="Arial" w:cs="Arial" w:eastAsia="Arial" w:hAnsi="Arial"/>
            <w:color w:val="1155cc"/>
            <w:u w:val="single"/>
            <w:rtl w:val="0"/>
          </w:rPr>
          <w:t xml:space="preserve">https://doi.org/10.1177/00208523241261896</w:t>
        </w:r>
      </w:hyperlink>
      <w:r w:rsidDel="00000000" w:rsidR="00000000" w:rsidRPr="00000000">
        <w:rPr>
          <w:rFonts w:ascii="Arial" w:cs="Arial" w:eastAsia="Arial" w:hAnsi="Arial"/>
          <w:rtl w:val="0"/>
        </w:rPr>
        <w:t xml:space="preserve">  </w:t>
      </w:r>
    </w:p>
    <w:p w:rsidR="00000000" w:rsidDel="00000000" w:rsidP="00000000" w:rsidRDefault="00000000" w:rsidRPr="00000000" w14:paraId="0000010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tl w:val="0"/>
        </w:rPr>
      </w:r>
    </w:p>
    <w:sectPr>
      <w:headerReference r:id="rId23" w:type="default"/>
      <w:headerReference r:id="rId24" w:type="first"/>
      <w:footerReference r:id="rId25" w:type="default"/>
      <w:footerReference r:id="rId26" w:type="first"/>
      <w:pgSz w:h="18720" w:w="12240" w:orient="portrait"/>
      <w:pgMar w:bottom="993.5999999999999" w:top="633.6" w:left="1440" w:right="1440" w:header="270" w:footer="3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sz w:val="14"/>
        <w:szCs w:val="1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2849880</wp:posOffset>
          </wp:positionH>
          <wp:positionV relativeFrom="paragraph">
            <wp:posOffset>-99059</wp:posOffset>
          </wp:positionV>
          <wp:extent cx="3390900" cy="986790"/>
          <wp:effectExtent b="0" l="0" r="0" t="0"/>
          <wp:wrapSquare wrapText="bothSides" distB="0" distT="0" distL="114300" distR="114300"/>
          <wp:docPr descr="Several logos with text&#10;&#10;AI-generated content may be incorrect." id="2145285093" name="image2.png"/>
          <a:graphic>
            <a:graphicData uri="http://schemas.openxmlformats.org/drawingml/2006/picture">
              <pic:pic>
                <pic:nvPicPr>
                  <pic:cNvPr descr="Several logos with text&#10;&#10;AI-generated content may be incorrect." id="0" name="image2.png"/>
                  <pic:cNvPicPr preferRelativeResize="0"/>
                </pic:nvPicPr>
                <pic:blipFill>
                  <a:blip r:embed="rId1"/>
                  <a:srcRect b="0" l="0" r="0" t="0"/>
                  <a:stretch>
                    <a:fillRect/>
                  </a:stretch>
                </pic:blipFill>
                <pic:spPr>
                  <a:xfrm>
                    <a:off x="0" y="0"/>
                    <a:ext cx="3390900" cy="986790"/>
                  </a:xfrm>
                  <a:prstGeom prst="rect"/>
                  <a:ln/>
                </pic:spPr>
              </pic:pic>
            </a:graphicData>
          </a:graphic>
        </wp:anchor>
      </w:drawing>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PUP A. Mabini Campus, Anonas Street, Sta. Mesa, Manila 1016</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Trunk Line: 335-1787 or 335-1777</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Website: www.pup.edu.ph | Inquiries: https://bit.ly/PUPSINTA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EADING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OMPREHENSIVE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OLYTECHNIC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NIVERSITY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w:t>
      <w:tab/>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PUP A. Mabini Campus, Anonas Street, Sta. Mesa, Manila 1016</w:t>
    </w:r>
    <w:r w:rsidDel="00000000" w:rsidR="00000000" w:rsidRPr="00000000">
      <w:drawing>
        <wp:anchor allowOverlap="1" behindDoc="0" distB="0" distT="0" distL="114300" distR="114300" hidden="0" layoutInCell="1" locked="0" relativeHeight="0" simplePos="0">
          <wp:simplePos x="0" y="0"/>
          <wp:positionH relativeFrom="column">
            <wp:posOffset>2849880</wp:posOffset>
          </wp:positionH>
          <wp:positionV relativeFrom="paragraph">
            <wp:posOffset>-99059</wp:posOffset>
          </wp:positionV>
          <wp:extent cx="3390900" cy="986790"/>
          <wp:effectExtent b="0" l="0" r="0" t="0"/>
          <wp:wrapSquare wrapText="bothSides" distB="0" distT="0" distL="114300" distR="114300"/>
          <wp:docPr id="214528508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390900" cy="986790"/>
                  </a:xfrm>
                  <a:prstGeom prst="rect"/>
                  <a:ln/>
                </pic:spPr>
              </pic:pic>
            </a:graphicData>
          </a:graphic>
        </wp:anchor>
      </w:drawing>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Trunk Line: 335-1787 or 335-1777</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Website: www.pup.edu.ph | Inquiries: https://bit.ly/PUPSINTA</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EADING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OMPREHENSIVE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OLYTECHNIC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NIVERSITY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w:t>
      <w:tab/>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tabs>
        <w:tab w:val="center" w:leader="none" w:pos="4680"/>
        <w:tab w:val="right" w:leader="none" w:pos="9360"/>
      </w:tabs>
      <w:spacing w:after="0" w:line="240" w:lineRule="auto"/>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-450849</wp:posOffset>
          </wp:positionH>
          <wp:positionV relativeFrom="paragraph">
            <wp:posOffset>59575</wp:posOffset>
          </wp:positionV>
          <wp:extent cx="914400" cy="927735"/>
          <wp:effectExtent b="0" l="0" r="0" t="0"/>
          <wp:wrapNone/>
          <wp:docPr id="214528509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927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5269230</wp:posOffset>
          </wp:positionH>
          <wp:positionV relativeFrom="paragraph">
            <wp:posOffset>0</wp:posOffset>
          </wp:positionV>
          <wp:extent cx="1058333" cy="990881"/>
          <wp:effectExtent b="0" l="0" r="0" t="0"/>
          <wp:wrapNone/>
          <wp:docPr descr="A logo with a sun and stars&#10;&#10;Description automatically generated" id="2145285092" name="image3.png"/>
          <a:graphic>
            <a:graphicData uri="http://schemas.openxmlformats.org/drawingml/2006/picture">
              <pic:pic>
                <pic:nvPicPr>
                  <pic:cNvPr descr="A logo with a sun and stars&#10;&#10;Description automatically generated" id="0" name="image3.png"/>
                  <pic:cNvPicPr preferRelativeResize="0"/>
                </pic:nvPicPr>
                <pic:blipFill>
                  <a:blip r:embed="rId2"/>
                  <a:srcRect b="0" l="0" r="0" t="0"/>
                  <a:stretch>
                    <a:fillRect/>
                  </a:stretch>
                </pic:blipFill>
                <pic:spPr>
                  <a:xfrm>
                    <a:off x="0" y="0"/>
                    <a:ext cx="1058333" cy="990881"/>
                  </a:xfrm>
                  <a:prstGeom prst="rect"/>
                  <a:ln/>
                </pic:spPr>
              </pic:pic>
            </a:graphicData>
          </a:graphic>
        </wp:anchor>
      </w:drawing>
    </w:r>
  </w:p>
  <w:p w:rsidR="00000000" w:rsidDel="00000000" w:rsidP="00000000" w:rsidRDefault="00000000" w:rsidRPr="00000000" w14:paraId="0000010A">
    <w:pPr>
      <w:spacing w:after="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10B">
    <w:pPr>
      <w:spacing w:after="0" w:lineRule="auto"/>
      <w:ind w:left="900" w:firstLine="0"/>
      <w:rPr>
        <w:rFonts w:ascii="Cambria" w:cs="Cambria" w:eastAsia="Cambria" w:hAnsi="Cambria"/>
        <w:b w:val="1"/>
        <w:bCs w:val="1"/>
      </w:rPr>
    </w:pP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OLYTECHNIC </w:t>
    </w:r>
    <w:r w:rsidDel="00000000" w:rsidR="00000000" w:rsidRPr="00000000">
      <w:rPr>
        <w:rFonts w:ascii="Cambria" w:cs="Cambria" w:eastAsia="Cambria" w:hAnsi="Cambria"/>
        <w:b w:val="1"/>
        <w:bCs w:val="1"/>
        <w:sz w:val="26"/>
        <w:szCs w:val="26"/>
        <w:rtl w:val="0"/>
      </w:rPr>
      <w:t xml:space="preserve">U</w:t>
    </w:r>
    <w:r w:rsidDel="00000000" w:rsidR="00000000" w:rsidRPr="00000000">
      <w:rPr>
        <w:rFonts w:ascii="Cambria" w:cs="Cambria" w:eastAsia="Cambria" w:hAnsi="Cambria"/>
        <w:b w:val="1"/>
        <w:bCs w:val="1"/>
        <w:rtl w:val="0"/>
      </w:rPr>
      <w:t xml:space="preserve">NIVERSITY OF THE </w:t>
    </w: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HILIPPINES  </w:t>
    </w:r>
  </w:p>
  <w:p w:rsidR="00000000" w:rsidDel="00000000" w:rsidP="00000000" w:rsidRDefault="00000000" w:rsidRPr="00000000" w14:paraId="0000010C">
    <w:pPr>
      <w:tabs>
        <w:tab w:val="left" w:leader="none" w:pos="8370"/>
      </w:tabs>
      <w:spacing w:after="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VICE PRESIDENT FOR ACADEMIC AFFAIRS</w:t>
    </w:r>
  </w:p>
  <w:p w:rsidR="00000000" w:rsidDel="00000000" w:rsidP="00000000" w:rsidRDefault="00000000" w:rsidRPr="00000000" w14:paraId="0000010D">
    <w:pPr>
      <w:spacing w:after="0" w:lineRule="auto"/>
      <w:ind w:left="90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COLLEGE OF COMPUTER AND INFORMATION SCIENCES</w:t>
    </w:r>
  </w:p>
  <w:p w:rsidR="00000000" w:rsidDel="00000000" w:rsidP="00000000" w:rsidRDefault="00000000" w:rsidRPr="00000000" w14:paraId="0000010E">
    <w:pPr>
      <w:tabs>
        <w:tab w:val="left" w:leader="none" w:pos="8370"/>
      </w:tabs>
      <w:spacing w:after="0" w:lineRule="auto"/>
      <w:ind w:left="9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DEPARTMENT OF INFORMATION TECHNOLOGY</w:t>
    </w:r>
  </w:p>
  <w:p w:rsidR="00000000" w:rsidDel="00000000" w:rsidP="00000000" w:rsidRDefault="00000000" w:rsidRPr="00000000" w14:paraId="0000010F">
    <w:pPr>
      <w:pBdr>
        <w:bottom w:color="808080" w:space="1" w:sz="4" w:val="single"/>
      </w:pBdr>
      <w:tabs>
        <w:tab w:val="center" w:leader="none" w:pos="4680"/>
      </w:tabs>
      <w:spacing w:after="0" w:line="240" w:lineRule="auto"/>
      <w:ind w:left="-720" w:right="-718" w:firstLine="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tabs>
        <w:tab w:val="center" w:leader="none" w:pos="4680"/>
        <w:tab w:val="right" w:leader="none" w:pos="9360"/>
      </w:tabs>
      <w:spacing w:after="0" w:line="240" w:lineRule="auto"/>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-450849</wp:posOffset>
          </wp:positionH>
          <wp:positionV relativeFrom="paragraph">
            <wp:posOffset>59575</wp:posOffset>
          </wp:positionV>
          <wp:extent cx="914400" cy="927735"/>
          <wp:effectExtent b="0" l="0" r="0" t="0"/>
          <wp:wrapNone/>
          <wp:docPr id="214528509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927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5269230</wp:posOffset>
          </wp:positionH>
          <wp:positionV relativeFrom="paragraph">
            <wp:posOffset>0</wp:posOffset>
          </wp:positionV>
          <wp:extent cx="1058333" cy="990881"/>
          <wp:effectExtent b="0" l="0" r="0" t="0"/>
          <wp:wrapNone/>
          <wp:docPr descr="A logo with a sun and stars&#10;&#10;Description automatically generated" id="2145285091" name="image3.png"/>
          <a:graphic>
            <a:graphicData uri="http://schemas.openxmlformats.org/drawingml/2006/picture">
              <pic:pic>
                <pic:nvPicPr>
                  <pic:cNvPr descr="A logo with a sun and stars&#10;&#10;Description automatically generated" id="0" name="image3.png"/>
                  <pic:cNvPicPr preferRelativeResize="0"/>
                </pic:nvPicPr>
                <pic:blipFill>
                  <a:blip r:embed="rId2"/>
                  <a:srcRect b="0" l="0" r="0" t="0"/>
                  <a:stretch>
                    <a:fillRect/>
                  </a:stretch>
                </pic:blipFill>
                <pic:spPr>
                  <a:xfrm>
                    <a:off x="0" y="0"/>
                    <a:ext cx="1058333" cy="990881"/>
                  </a:xfrm>
                  <a:prstGeom prst="rect"/>
                  <a:ln/>
                </pic:spPr>
              </pic:pic>
            </a:graphicData>
          </a:graphic>
        </wp:anchor>
      </w:drawing>
    </w:r>
  </w:p>
  <w:p w:rsidR="00000000" w:rsidDel="00000000" w:rsidP="00000000" w:rsidRDefault="00000000" w:rsidRPr="00000000" w14:paraId="00000112">
    <w:pPr>
      <w:spacing w:after="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113">
    <w:pPr>
      <w:spacing w:after="0" w:lineRule="auto"/>
      <w:ind w:left="900" w:firstLine="0"/>
      <w:rPr>
        <w:rFonts w:ascii="Cambria" w:cs="Cambria" w:eastAsia="Cambria" w:hAnsi="Cambria"/>
        <w:b w:val="1"/>
        <w:bCs w:val="1"/>
      </w:rPr>
    </w:pP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OLYTECHNIC </w:t>
    </w:r>
    <w:r w:rsidDel="00000000" w:rsidR="00000000" w:rsidRPr="00000000">
      <w:rPr>
        <w:rFonts w:ascii="Cambria" w:cs="Cambria" w:eastAsia="Cambria" w:hAnsi="Cambria"/>
        <w:b w:val="1"/>
        <w:bCs w:val="1"/>
        <w:sz w:val="26"/>
        <w:szCs w:val="26"/>
        <w:rtl w:val="0"/>
      </w:rPr>
      <w:t xml:space="preserve">U</w:t>
    </w:r>
    <w:r w:rsidDel="00000000" w:rsidR="00000000" w:rsidRPr="00000000">
      <w:rPr>
        <w:rFonts w:ascii="Cambria" w:cs="Cambria" w:eastAsia="Cambria" w:hAnsi="Cambria"/>
        <w:b w:val="1"/>
        <w:bCs w:val="1"/>
        <w:rtl w:val="0"/>
      </w:rPr>
      <w:t xml:space="preserve">NIVERSITY OF THE </w:t>
    </w: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HILIPPINES  </w:t>
    </w:r>
  </w:p>
  <w:p w:rsidR="00000000" w:rsidDel="00000000" w:rsidP="00000000" w:rsidRDefault="00000000" w:rsidRPr="00000000" w14:paraId="00000114">
    <w:pPr>
      <w:tabs>
        <w:tab w:val="left" w:leader="none" w:pos="8370"/>
      </w:tabs>
      <w:spacing w:after="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VICE PRESIDENT FOR ACADEMIC AFFAIRS</w:t>
    </w:r>
  </w:p>
  <w:p w:rsidR="00000000" w:rsidDel="00000000" w:rsidP="00000000" w:rsidRDefault="00000000" w:rsidRPr="00000000" w14:paraId="00000115">
    <w:pPr>
      <w:spacing w:after="0" w:lineRule="auto"/>
      <w:ind w:left="90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COLLEGE OF COMPUTER AND INFORMATION SCIENCES</w:t>
    </w:r>
  </w:p>
  <w:p w:rsidR="00000000" w:rsidDel="00000000" w:rsidP="00000000" w:rsidRDefault="00000000" w:rsidRPr="00000000" w14:paraId="00000116">
    <w:pPr>
      <w:tabs>
        <w:tab w:val="left" w:leader="none" w:pos="8370"/>
      </w:tabs>
      <w:spacing w:after="0" w:lineRule="auto"/>
      <w:ind w:left="9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DEPARTMENT OF INFORMATION TECHNOLOGY</w:t>
    </w:r>
  </w:p>
  <w:p w:rsidR="00000000" w:rsidDel="00000000" w:rsidP="00000000" w:rsidRDefault="00000000" w:rsidRPr="00000000" w14:paraId="00000117">
    <w:pPr>
      <w:pBdr>
        <w:bottom w:color="808080" w:space="1" w:sz="4" w:val="single"/>
      </w:pBdr>
      <w:tabs>
        <w:tab w:val="center" w:leader="none" w:pos="4680"/>
      </w:tabs>
      <w:spacing w:after="0" w:line="240" w:lineRule="auto"/>
      <w:ind w:left="-720" w:right="-718" w:firstLine="0"/>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2f5496"/>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914361"/>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14361"/>
    <w:rPr>
      <w:rFonts w:ascii="Tahoma" w:cs="Tahoma" w:hAnsi="Tahoma"/>
      <w:sz w:val="16"/>
      <w:szCs w:val="16"/>
    </w:rPr>
  </w:style>
  <w:style w:type="paragraph" w:styleId="Header">
    <w:name w:val="header"/>
    <w:basedOn w:val="Normal"/>
    <w:link w:val="HeaderChar"/>
    <w:uiPriority w:val="99"/>
    <w:unhideWhenUsed w:val="1"/>
    <w:rsid w:val="00245EB2"/>
    <w:pPr>
      <w:tabs>
        <w:tab w:val="center" w:pos="4680"/>
        <w:tab w:val="right" w:pos="9360"/>
      </w:tabs>
    </w:pPr>
    <w:rPr>
      <w:lang w:eastAsia="x-none" w:val="x-none"/>
    </w:rPr>
  </w:style>
  <w:style w:type="character" w:styleId="HeaderChar" w:customStyle="1">
    <w:name w:val="Header Char"/>
    <w:link w:val="Header"/>
    <w:uiPriority w:val="99"/>
    <w:rsid w:val="00245EB2"/>
    <w:rPr>
      <w:sz w:val="22"/>
      <w:szCs w:val="22"/>
    </w:rPr>
  </w:style>
  <w:style w:type="paragraph" w:styleId="Footer">
    <w:name w:val="footer"/>
    <w:basedOn w:val="Normal"/>
    <w:link w:val="FooterChar"/>
    <w:uiPriority w:val="99"/>
    <w:unhideWhenUsed w:val="1"/>
    <w:rsid w:val="00245EB2"/>
    <w:pPr>
      <w:tabs>
        <w:tab w:val="center" w:pos="4680"/>
        <w:tab w:val="right" w:pos="9360"/>
      </w:tabs>
    </w:pPr>
    <w:rPr>
      <w:lang w:eastAsia="x-none" w:val="x-none"/>
    </w:rPr>
  </w:style>
  <w:style w:type="character" w:styleId="FooterChar" w:customStyle="1">
    <w:name w:val="Footer Char"/>
    <w:link w:val="Footer"/>
    <w:uiPriority w:val="99"/>
    <w:rsid w:val="00245EB2"/>
    <w:rPr>
      <w:sz w:val="22"/>
      <w:szCs w:val="22"/>
    </w:rPr>
  </w:style>
  <w:style w:type="character" w:styleId="Hyperlink">
    <w:name w:val="Hyperlink"/>
    <w:uiPriority w:val="99"/>
    <w:unhideWhenUsed w:val="1"/>
    <w:rsid w:val="00245EB2"/>
    <w:rPr>
      <w:color w:val="0000ff"/>
      <w:u w:val="single"/>
    </w:rPr>
  </w:style>
  <w:style w:type="table" w:styleId="TableGrid">
    <w:name w:val="Table Grid"/>
    <w:basedOn w:val="TableNormal"/>
    <w:uiPriority w:val="39"/>
    <w:rsid w:val="000B45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ediumGrid3-Accent3">
    <w:name w:val="Medium Grid 3 Accent 3"/>
    <w:basedOn w:val="TableNormal"/>
    <w:uiPriority w:val="69"/>
    <w:rsid w:val="000B3E35"/>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paragraph" w:styleId="NoSpacing">
    <w:name w:val="No Spacing"/>
    <w:uiPriority w:val="1"/>
    <w:qFormat w:val="1"/>
    <w:rsid w:val="000E640E"/>
    <w:rPr>
      <w:sz w:val="22"/>
      <w:szCs w:val="22"/>
    </w:rPr>
  </w:style>
  <w:style w:type="paragraph" w:styleId="ListParagraph">
    <w:name w:val="List Paragraph"/>
    <w:basedOn w:val="Normal"/>
    <w:uiPriority w:val="34"/>
    <w:qFormat w:val="1"/>
    <w:rsid w:val="007C3BFC"/>
    <w:pPr>
      <w:ind w:left="720"/>
      <w:contextualSpacing w:val="1"/>
    </w:pPr>
    <w:rPr>
      <w:lang w:val="en-PH"/>
    </w:rPr>
  </w:style>
  <w:style w:type="character" w:styleId="SubtitleChar" w:customStyle="1">
    <w:name w:val="Subtitle Char"/>
    <w:link w:val="Subtitle"/>
    <w:uiPriority w:val="11"/>
    <w:rsid w:val="0059037A"/>
    <w:rPr>
      <w:rFonts w:ascii="Calibri" w:cs="Times New Roman" w:eastAsia="Times New Roman" w:hAnsi="Calibri"/>
      <w:color w:val="5a5a5a"/>
      <w:spacing w:val="15"/>
      <w:sz w:val="22"/>
      <w:szCs w:val="22"/>
      <w:lang w:eastAsia="en-US" w:val="en-US"/>
    </w:rPr>
  </w:style>
  <w:style w:type="character" w:styleId="UnresolvedMention">
    <w:name w:val="Unresolved Mention"/>
    <w:uiPriority w:val="99"/>
    <w:semiHidden w:val="1"/>
    <w:unhideWhenUsed w:val="1"/>
    <w:rsid w:val="008540A4"/>
    <w:rPr>
      <w:color w:val="808080"/>
      <w:shd w:color="auto" w:fill="e6e6e6" w:val="clear"/>
    </w:rPr>
  </w:style>
  <w:style w:type="character" w:styleId="PlaceholderText">
    <w:name w:val="Placeholder Text"/>
    <w:uiPriority w:val="99"/>
    <w:semiHidden w:val="1"/>
    <w:rsid w:val="00CB12E7"/>
    <w:rPr>
      <w:color w:val="808080"/>
    </w:rPr>
  </w:style>
  <w:style w:type="character" w:styleId="Heading1Char" w:customStyle="1">
    <w:name w:val="Heading 1 Char"/>
    <w:basedOn w:val="DefaultParagraphFont"/>
    <w:link w:val="Heading1"/>
    <w:uiPriority w:val="9"/>
    <w:rsid w:val="000626F5"/>
    <w:rPr>
      <w:rFonts w:asciiTheme="majorHAnsi" w:cstheme="majorBidi" w:eastAsiaTheme="majorEastAsia" w:hAnsiTheme="majorHAnsi"/>
      <w:color w:val="2f5496" w:themeColor="accent1" w:themeShade="0000BF"/>
      <w:kern w:val="2"/>
      <w:sz w:val="40"/>
      <w:szCs w:val="40"/>
      <w:lang w:val="en-PH"/>
    </w:rPr>
  </w:style>
  <w:style w:type="character" w:styleId="PageNumber">
    <w:name w:val="page number"/>
    <w:basedOn w:val="DefaultParagraphFont"/>
    <w:uiPriority w:val="99"/>
    <w:semiHidden w:val="1"/>
    <w:unhideWhenUsed w:val="1"/>
    <w:rsid w:val="000626F5"/>
  </w:style>
  <w:style w:type="character" w:styleId="Strong">
    <w:name w:val="Strong"/>
    <w:basedOn w:val="DefaultParagraphFont"/>
    <w:uiPriority w:val="22"/>
    <w:qFormat w:val="1"/>
    <w:rsid w:val="002A5866"/>
    <w:rPr>
      <w:b w:val="1"/>
      <w:bCs w:val="1"/>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fficialgazette.gov.ph/2023/07/21/revised-rules-and-regulations-implementing-republic-act-ra-no-10742-otherwise-known-as-the-sangguniang-kabataan-reform-act-of-2015-as-amended-by-ra-no-11768/" TargetMode="External"/><Relationship Id="rId22" Type="http://schemas.openxmlformats.org/officeDocument/2006/relationships/hyperlink" Target="https://doi.org/10.1177/00208523241261896" TargetMode="External"/><Relationship Id="rId21" Type="http://schemas.openxmlformats.org/officeDocument/2006/relationships/hyperlink" Target="https://doi.org/10.36948/ijfmr.2025.v07i03.46153"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pra.ub.uni-muenchen.de/122792/"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oi.org/10.1002/ncr.21304" TargetMode="External"/><Relationship Id="rId11" Type="http://schemas.openxmlformats.org/officeDocument/2006/relationships/hyperlink" Target="https://elibrary.judiciary.gov.ph/thebookshelf/showdocs/2/96391" TargetMode="External"/><Relationship Id="rId10" Type="http://schemas.openxmlformats.org/officeDocument/2006/relationships/hyperlink" Target="https://doi.org/10.47191/ijcsrr/v7-i5-22" TargetMode="External"/><Relationship Id="rId13" Type="http://schemas.openxmlformats.org/officeDocument/2006/relationships/hyperlink" Target="https://doi.org/10.1057/s41599-025-04539-y" TargetMode="External"/><Relationship Id="rId12" Type="http://schemas.openxmlformats.org/officeDocument/2006/relationships/hyperlink" Target="https://doi.org/10.37275/oaijss.v8i1.283" TargetMode="External"/><Relationship Id="rId15" Type="http://schemas.openxmlformats.org/officeDocument/2006/relationships/hyperlink" Target="https://doi.org/10.5296/jpag.v8i2.13345" TargetMode="External"/><Relationship Id="rId14" Type="http://schemas.openxmlformats.org/officeDocument/2006/relationships/hyperlink" Target="https://doi.org/10.1787/ac325b03-en" TargetMode="External"/><Relationship Id="rId17" Type="http://schemas.openxmlformats.org/officeDocument/2006/relationships/hyperlink" Target="https://www.officialgazette.gov.ph/2012/08/15/republic-act-no-10173/" TargetMode="External"/><Relationship Id="rId16" Type="http://schemas.openxmlformats.org/officeDocument/2006/relationships/hyperlink" Target="https://doi.org/10.2139/ssrn.526747" TargetMode="External"/><Relationship Id="rId19" Type="http://schemas.openxmlformats.org/officeDocument/2006/relationships/hyperlink" Target="https://legacy.senate.gov.ph/republic_acts/ra%2012254.pdf" TargetMode="External"/><Relationship Id="rId18" Type="http://schemas.openxmlformats.org/officeDocument/2006/relationships/hyperlink" Target="https://www.officialgazette.gov.ph/2022/05/06/republic-act-no-117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ZfmuIXJdyuDb7HKzlBLkoceqg==">CgMxLjA4AHIhMWFvdWJGcG0wQUFkR0JhakZuV3BkMTd2RXpZMlJXcmt4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2026-03-13T10:53:00Z</dcterms:created>
  <dc:creator>PUP</dc:creator>
</cp:coreProperties>
</file>