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Y-TRACE System Changes Documentation</w:t>
      </w:r>
    </w:p>
    <w:p>
      <w:r>
        <w:t>Coverage  October 8 2026 only</w:t>
        <w:br/>
        <w:t>Updated  October 8 2026 at 06:10 AM Philippine time</w:t>
      </w:r>
    </w:p>
    <w:p>
      <w:r>
        <w:t>This record covers the reporting filters, seeded-data revisions and interface changes recorded on October 8. Times are Philippine time. Code entries use commit timestamps; database entries use migration registration timestamps.</w:t>
      </w:r>
    </w:p>
    <w:p>
      <w:pPr>
        <w:pStyle w:val="Heading1"/>
      </w:pPr>
      <w:r>
        <w:t>Quarterly filters and seed data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8467"/>
      </w:tblGrid>
      <w:tr>
        <w:trPr>
          <w:tblHeader/>
          <w:cantSplit/>
        </w:trPr>
        <w:tc>
          <w:tcPr>
            <w:tcW w:type="dxa" w:w="1901"/>
            <w:shd w:fill="E8EEF5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Date and time</w:t>
            </w:r>
          </w:p>
        </w:tc>
        <w:tc>
          <w:tcPr>
            <w:tcW w:type="dxa" w:w="8467"/>
            <w:shd w:fill="E8EEF5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1901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sz w:val="22"/>
              </w:rPr>
              <w:t>2026-10-08</w:t>
              <w:br/>
              <w:t>05:10:22 AM</w:t>
            </w:r>
          </w:p>
        </w:tc>
        <w:tc>
          <w:tcPr>
            <w:tcW w:type="dxa" w:w="8467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Quarterly export filters</w:t>
              <w:br/>
            </w:r>
            <w:r>
              <w:rPr>
                <w:sz w:val="22"/>
              </w:rPr>
              <w:t>Applied database support for date-bounded admin exports for Budget Requests, Liquidation Reports and Activity Logs. Migration admin_quarterly_export_filters.</w:t>
            </w:r>
          </w:p>
        </w:tc>
      </w:tr>
      <w:tr>
        <w:trPr>
          <w:cantSplit/>
        </w:trPr>
        <w:tc>
          <w:tcPr>
            <w:tcW w:type="dxa" w:w="1901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sz w:val="22"/>
              </w:rPr>
              <w:t>2026-10-08</w:t>
              <w:br/>
              <w:t>05:25:12 AM</w:t>
            </w:r>
          </w:p>
        </w:tc>
        <w:tc>
          <w:tcPr>
            <w:tcW w:type="dxa" w:w="8467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Independent year and quarter filters</w:t>
              <w:br/>
            </w:r>
            <w:r>
              <w:rPr>
                <w:sz w:val="22"/>
              </w:rPr>
              <w:t>Applied All Year and quarter filtering across years. Liquidation filtering uses report creation date; budget filtering uses activity date with a creation-date fallback.</w:t>
            </w:r>
          </w:p>
        </w:tc>
      </w:tr>
      <w:tr>
        <w:trPr>
          <w:cantSplit/>
        </w:trPr>
        <w:tc>
          <w:tcPr>
            <w:tcW w:type="dxa" w:w="1901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sz w:val="22"/>
              </w:rPr>
              <w:t>2026-10-08</w:t>
              <w:br/>
              <w:t>05:35:15 AM</w:t>
            </w:r>
          </w:p>
        </w:tc>
        <w:tc>
          <w:tcPr>
            <w:tcW w:type="dxa" w:w="8467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Budget Monitoring All Year</w:t>
              <w:br/>
            </w:r>
            <w:r>
              <w:rPr>
                <w:sz w:val="22"/>
              </w:rPr>
              <w:t>Applied full-dataset and recurring-quarter filtering. Quarter selections retain annual allocation context instead of treating the quarter as a separate allocation.</w:t>
            </w:r>
          </w:p>
        </w:tc>
      </w:tr>
      <w:tr>
        <w:trPr>
          <w:cantSplit/>
        </w:trPr>
        <w:tc>
          <w:tcPr>
            <w:tcW w:type="dxa" w:w="1901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sz w:val="22"/>
              </w:rPr>
              <w:t>2026-10-08</w:t>
              <w:br/>
              <w:t>05:42:50 AM</w:t>
            </w:r>
          </w:p>
        </w:tc>
        <w:tc>
          <w:tcPr>
            <w:tcW w:type="dxa" w:w="8467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Period-scoped budget cards</w:t>
              <w:br/>
            </w:r>
            <w:r>
              <w:rPr>
                <w:sz w:val="22"/>
              </w:rPr>
              <w:t>Applied summaries for Pending Review, Approved Budget and Released Budget based on the selected year and period.</w:t>
            </w:r>
          </w:p>
        </w:tc>
      </w:tr>
      <w:tr>
        <w:trPr>
          <w:cantSplit/>
        </w:trPr>
        <w:tc>
          <w:tcPr>
            <w:tcW w:type="dxa" w:w="1901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sz w:val="22"/>
              </w:rPr>
              <w:t>2026-10-08</w:t>
              <w:br/>
              <w:t>05:51:51 AM</w:t>
            </w:r>
          </w:p>
        </w:tc>
        <w:tc>
          <w:tcPr>
            <w:tcW w:type="dxa" w:w="8467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Seed quarter coverage</w:t>
              <w:br/>
            </w:r>
            <w:r>
              <w:rPr>
                <w:sz w:val="22"/>
              </w:rPr>
              <w:t>Redistributed the 84 marked records: 2024 Q1-Q4 have 8/8/8/7 requests; 2025 Q1-Q4 have 12/12/12/11; 2026 Q1 has 6. Each quarter includes releases and liquidation reports.</w:t>
            </w:r>
          </w:p>
        </w:tc>
      </w:tr>
      <w:tr>
        <w:trPr>
          <w:cantSplit/>
        </w:trPr>
        <w:tc>
          <w:tcPr>
            <w:tcW w:type="dxa" w:w="1901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sz w:val="22"/>
              </w:rPr>
              <w:t>2026-10-08</w:t>
              <w:br/>
              <w:t>05:59:50 AM</w:t>
            </w:r>
          </w:p>
        </w:tc>
        <w:tc>
          <w:tcPr>
            <w:tcW w:type="dxa" w:w="8467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Unique projects and varied budgets</w:t>
              <w:br/>
            </w:r>
            <w:r>
              <w:rPr>
                <w:sz w:val="22"/>
              </w:rPr>
              <w:t>Applied 84 distinct seeded project titles and varied requested, approved and released amounts across all seeded quarters. Preserved statuses, dates, linked report data and non-seeded accounts.</w:t>
            </w:r>
          </w:p>
        </w:tc>
      </w:tr>
    </w:tbl>
    <w:p>
      <w:r>
        <w:br w:type="page"/>
      </w:r>
    </w:p>
    <w:p>
      <w:pPr>
        <w:pStyle w:val="Heading1"/>
      </w:pPr>
      <w:r>
        <w:t>Interface changes and release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8467"/>
      </w:tblGrid>
      <w:tr>
        <w:trPr>
          <w:tblHeader/>
          <w:cantSplit/>
        </w:trPr>
        <w:tc>
          <w:tcPr>
            <w:tcW w:type="dxa" w:w="1901"/>
            <w:shd w:fill="E8EEF5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Date and time</w:t>
            </w:r>
          </w:p>
        </w:tc>
        <w:tc>
          <w:tcPr>
            <w:tcW w:type="dxa" w:w="8467"/>
            <w:shd w:fill="E8EEF5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Description</w:t>
            </w:r>
          </w:p>
        </w:tc>
      </w:tr>
      <w:tr>
        <w:trPr>
          <w:cantSplit/>
        </w:trPr>
        <w:tc>
          <w:tcPr>
            <w:tcW w:type="dxa" w:w="1901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sz w:val="22"/>
              </w:rPr>
              <w:t>2026-10-08</w:t>
              <w:br/>
              <w:t>06:03:54 AM</w:t>
            </w:r>
          </w:p>
        </w:tc>
        <w:tc>
          <w:tcPr>
            <w:tcW w:type="dxa" w:w="8467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Reporting controls and defaults</w:t>
              <w:br/>
            </w:r>
            <w:r>
              <w:rPr>
                <w:sz w:val="22"/>
              </w:rPr>
              <w:t>Committed header Year/Period controls beside Export, removed the redundant semester controls on the requested pages, and set initial filters to the current Philippine year and quarter. All options remain available.</w:t>
            </w:r>
          </w:p>
        </w:tc>
      </w:tr>
      <w:tr>
        <w:trPr>
          <w:cantSplit/>
        </w:trPr>
        <w:tc>
          <w:tcPr>
            <w:tcW w:type="dxa" w:w="1901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sz w:val="22"/>
              </w:rPr>
              <w:t>2026-10-08</w:t>
              <w:br/>
              <w:t>06:03:54 AM</w:t>
            </w:r>
          </w:p>
        </w:tc>
        <w:tc>
          <w:tcPr>
            <w:tcW w:type="dxa" w:w="8467"/>
            <w:vAlign w:val="top"/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Chevron spacing and release record</w:t>
              <w:br/>
            </w:r>
            <w:r>
              <w:rPr>
                <w:sz w:val="22"/>
              </w:rPr>
              <w:t>Committed the shared dropdown chevrons with 12-pixel right spacing and the updated seed preview catalog. Commit 12eb2f3 was pushed successfully to txiaoqt/lydorg main.</w:t>
            </w:r>
          </w:p>
        </w:tc>
      </w:tr>
    </w:tbl>
    <w:p>
      <w:pPr>
        <w:pStyle w:val="Heading1"/>
      </w:pPr>
      <w:r>
        <w:t>Seeded budget totals</w:t>
      </w:r>
    </w:p>
    <w:p>
      <w:r>
        <w:t>The revised database totals below cover the marked 84-record sample dataset. Released amounts do not exceed approved amounts. These figures exclude non-seeded accounts.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Period</w:t>
            </w:r>
          </w:p>
        </w:tc>
        <w:tc>
          <w:tcPr>
            <w:tcW w:type="dxa" w:w="3456"/>
          </w:tcPr>
          <w:p>
            <w:r>
              <w:t>Approved budget</w:t>
            </w:r>
          </w:p>
        </w:tc>
        <w:tc>
          <w:tcPr>
            <w:tcW w:type="dxa" w:w="3456"/>
          </w:tcPr>
          <w:p>
            <w:r>
              <w:t>Released budget</w:t>
            </w:r>
          </w:p>
        </w:tc>
      </w:tr>
      <w:tr>
        <w:tc>
          <w:tcPr>
            <w:tcW w:type="dxa" w:w="3456"/>
          </w:tcPr>
          <w:p>
            <w:r>
              <w:t>2024 Q1</w:t>
            </w:r>
          </w:p>
        </w:tc>
        <w:tc>
          <w:tcPr>
            <w:tcW w:type="dxa" w:w="3456"/>
          </w:tcPr>
          <w:p>
            <w:r>
              <w:t>PHP 439,000</w:t>
            </w:r>
          </w:p>
        </w:tc>
        <w:tc>
          <w:tcPr>
            <w:tcW w:type="dxa" w:w="3456"/>
          </w:tcPr>
          <w:p>
            <w:r>
              <w:t>PHP 259,000</w:t>
            </w:r>
          </w:p>
        </w:tc>
      </w:tr>
      <w:tr>
        <w:tc>
          <w:tcPr>
            <w:tcW w:type="dxa" w:w="3456"/>
          </w:tcPr>
          <w:p>
            <w:r>
              <w:t>2024 Q2</w:t>
            </w:r>
          </w:p>
        </w:tc>
        <w:tc>
          <w:tcPr>
            <w:tcW w:type="dxa" w:w="3456"/>
          </w:tcPr>
          <w:p>
            <w:r>
              <w:t>PHP 325,000</w:t>
            </w:r>
          </w:p>
        </w:tc>
        <w:tc>
          <w:tcPr>
            <w:tcW w:type="dxa" w:w="3456"/>
          </w:tcPr>
          <w:p>
            <w:r>
              <w:t>PHP 214,000</w:t>
            </w:r>
          </w:p>
        </w:tc>
      </w:tr>
      <w:tr>
        <w:tc>
          <w:tcPr>
            <w:tcW w:type="dxa" w:w="3456"/>
          </w:tcPr>
          <w:p>
            <w:r>
              <w:t>2024 Q3</w:t>
            </w:r>
          </w:p>
        </w:tc>
        <w:tc>
          <w:tcPr>
            <w:tcW w:type="dxa" w:w="3456"/>
          </w:tcPr>
          <w:p>
            <w:r>
              <w:t>PHP 436,000</w:t>
            </w:r>
          </w:p>
        </w:tc>
        <w:tc>
          <w:tcPr>
            <w:tcW w:type="dxa" w:w="3456"/>
          </w:tcPr>
          <w:p>
            <w:r>
              <w:t>PHP 271,000</w:t>
            </w:r>
          </w:p>
        </w:tc>
      </w:tr>
      <w:tr>
        <w:tc>
          <w:tcPr>
            <w:tcW w:type="dxa" w:w="3456"/>
          </w:tcPr>
          <w:p>
            <w:r>
              <w:t>2024 Q4</w:t>
            </w:r>
          </w:p>
        </w:tc>
        <w:tc>
          <w:tcPr>
            <w:tcW w:type="dxa" w:w="3456"/>
          </w:tcPr>
          <w:p>
            <w:r>
              <w:t>PHP 394,000</w:t>
            </w:r>
          </w:p>
        </w:tc>
        <w:tc>
          <w:tcPr>
            <w:tcW w:type="dxa" w:w="3456"/>
          </w:tcPr>
          <w:p>
            <w:r>
              <w:t>PHP 324,000</w:t>
            </w:r>
          </w:p>
        </w:tc>
      </w:tr>
      <w:tr>
        <w:tc>
          <w:tcPr>
            <w:tcW w:type="dxa" w:w="3456"/>
          </w:tcPr>
          <w:p>
            <w:r>
              <w:t>2025 Q1</w:t>
            </w:r>
          </w:p>
        </w:tc>
        <w:tc>
          <w:tcPr>
            <w:tcW w:type="dxa" w:w="3456"/>
          </w:tcPr>
          <w:p>
            <w:r>
              <w:t>PHP 643,000</w:t>
            </w:r>
          </w:p>
        </w:tc>
        <w:tc>
          <w:tcPr>
            <w:tcW w:type="dxa" w:w="3456"/>
          </w:tcPr>
          <w:p>
            <w:r>
              <w:t>PHP 395,000</w:t>
            </w:r>
          </w:p>
        </w:tc>
      </w:tr>
      <w:tr>
        <w:tc>
          <w:tcPr>
            <w:tcW w:type="dxa" w:w="3456"/>
          </w:tcPr>
          <w:p>
            <w:r>
              <w:t>2025 Q2</w:t>
            </w:r>
          </w:p>
        </w:tc>
        <w:tc>
          <w:tcPr>
            <w:tcW w:type="dxa" w:w="3456"/>
          </w:tcPr>
          <w:p>
            <w:r>
              <w:t>PHP 569,000</w:t>
            </w:r>
          </w:p>
        </w:tc>
        <w:tc>
          <w:tcPr>
            <w:tcW w:type="dxa" w:w="3456"/>
          </w:tcPr>
          <w:p>
            <w:r>
              <w:t>PHP 413,000</w:t>
            </w:r>
          </w:p>
        </w:tc>
      </w:tr>
      <w:tr>
        <w:tc>
          <w:tcPr>
            <w:tcW w:type="dxa" w:w="3456"/>
          </w:tcPr>
          <w:p>
            <w:r>
              <w:t>2025 Q3</w:t>
            </w:r>
          </w:p>
        </w:tc>
        <w:tc>
          <w:tcPr>
            <w:tcW w:type="dxa" w:w="3456"/>
          </w:tcPr>
          <w:p>
            <w:r>
              <w:t>PHP 664,000</w:t>
            </w:r>
          </w:p>
        </w:tc>
        <w:tc>
          <w:tcPr>
            <w:tcW w:type="dxa" w:w="3456"/>
          </w:tcPr>
          <w:p>
            <w:r>
              <w:t>PHP 420,000</w:t>
            </w:r>
          </w:p>
        </w:tc>
      </w:tr>
      <w:tr>
        <w:tc>
          <w:tcPr>
            <w:tcW w:type="dxa" w:w="3456"/>
          </w:tcPr>
          <w:p>
            <w:r>
              <w:t>2025 Q4</w:t>
            </w:r>
          </w:p>
        </w:tc>
        <w:tc>
          <w:tcPr>
            <w:tcW w:type="dxa" w:w="3456"/>
          </w:tcPr>
          <w:p>
            <w:r>
              <w:t>PHP 475,000</w:t>
            </w:r>
          </w:p>
        </w:tc>
        <w:tc>
          <w:tcPr>
            <w:tcW w:type="dxa" w:w="3456"/>
          </w:tcPr>
          <w:p>
            <w:r>
              <w:t>PHP 364,000</w:t>
            </w:r>
          </w:p>
        </w:tc>
      </w:tr>
      <w:tr>
        <w:tc>
          <w:tcPr>
            <w:tcW w:type="dxa" w:w="3456"/>
          </w:tcPr>
          <w:p>
            <w:r>
              <w:t>2026 Q1</w:t>
            </w:r>
          </w:p>
        </w:tc>
        <w:tc>
          <w:tcPr>
            <w:tcW w:type="dxa" w:w="3456"/>
          </w:tcPr>
          <w:p>
            <w:r>
              <w:t>PHP 309,000</w:t>
            </w:r>
          </w:p>
        </w:tc>
        <w:tc>
          <w:tcPr>
            <w:tcW w:type="dxa" w:w="3456"/>
          </w:tcPr>
          <w:p>
            <w:r>
              <w:t>PHP 239,000</w:t>
            </w:r>
          </w:p>
        </w:tc>
      </w:tr>
    </w:tbl>
    <w:p>
      <w:pPr>
        <w:pStyle w:val="Heading1"/>
      </w:pPr>
      <w:r>
        <w:t>Verification and release</w:t>
      </w:r>
    </w:p>
    <w:p>
      <w:r>
        <w:t>Database checks confirmed 84 unique normalized project titles, quarter coverage and varied amounts. Before-and-after comparisons confirmed the protected renewal test account, non-seeded budgets and reports, existing workflow statuses, and financial immutability guard were preserved.</w:t>
      </w:r>
    </w:p>
    <w:p>
      <w:r>
        <w:t>Commit 12eb2f3 was pushed successfully to https://github.com/txiaoqt/lydorg, branch main. This records the Git release; Vercel deployment status was not checked.</w:t>
      </w:r>
    </w:p>
    <w:p>
      <w:pPr>
        <w:pStyle w:val="Heading1"/>
      </w:pPr>
      <w:r>
        <w:t>Record sources</w:t>
      </w:r>
    </w:p>
    <w:p>
      <w:r>
        <w:t>Git commit history and diffs; applied Supabase migration records; docs/admin-quarterly-reporting.md; live seeded-budget aggregate checks. Migration timestamps were converted from UTC to Asia/Manila. The latest commit timestamp records the code release, not the exact push completion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Asia/Manila (UTC+08:00)                              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8"/>
      </w:rPr>
      <w:t>Y-TRACE  |  SYSTEM CHANGE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Y-TRACE System Changes Documentation</dc:title>
  <dc:subject>Dated record of system changes</dc:subject>
  <dc:creator>Y-TRACE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