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eastAsia="Calibri"/>
          <w:b/>
          <w:i w:val="0"/>
          <w:color w:val="2E74B5"/>
          <w:sz w:val="44"/>
        </w:rPr>
        <w:t>LYDO Connect User Side Demo Script</w:t>
      </w:r>
    </w:p>
    <w:p>
      <w:pPr>
        <w:spacing w:before="0" w:after="240" w:line="276" w:lineRule="auto"/>
        <w:jc w:val="center"/>
      </w:pPr>
      <w:r>
        <w:rPr>
          <w:rFonts w:ascii="Calibri" w:hAnsi="Calibri" w:eastAsia="Calibri"/>
          <w:b w:val="0"/>
          <w:i/>
          <w:color w:val="595959"/>
          <w:sz w:val="22"/>
        </w:rPr>
        <w:t>Comprehensive presenter script for the organization and youth-facing user portal</w:t>
      </w:r>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shd w:fill="EAF1FB"/>
          </w:tcPr>
          <w:p>
            <w:pPr>
              <w:spacing w:before="0" w:after="0" w:line="276" w:lineRule="auto"/>
            </w:pPr>
            <w:r>
              <w:rPr>
                <w:rFonts w:ascii="Calibri" w:hAnsi="Calibri" w:eastAsia="Calibri"/>
                <w:b/>
                <w:i w:val="0"/>
                <w:color w:val="1F4D78"/>
                <w:sz w:val="20"/>
              </w:rPr>
              <w:t>Audience</w:t>
            </w:r>
          </w:p>
        </w:tc>
        <w:tc>
          <w:tcPr>
            <w:tcW w:type="dxa" w:w="6912"/>
            <w:vAlign w:val="center"/>
          </w:tcPr>
          <w:p>
            <w:pPr>
              <w:spacing w:before="0" w:after="0" w:line="276" w:lineRule="auto"/>
            </w:pPr>
            <w:r>
              <w:rPr>
                <w:rFonts w:ascii="Calibri" w:hAnsi="Calibri" w:eastAsia="Calibri"/>
                <w:b w:val="0"/>
                <w:i w:val="0"/>
                <w:color w:val="16273D"/>
                <w:sz w:val="22"/>
              </w:rPr>
              <w:t>Student presenters, panel defense speakers, demo facilitators, and onboarding leads</w:t>
            </w:r>
          </w:p>
        </w:tc>
      </w:tr>
      <w:tr>
        <w:tc>
          <w:tcPr>
            <w:tcW w:type="dxa" w:w="2448"/>
            <w:vAlign w:val="center"/>
            <w:shd w:fill="EAF1FB"/>
          </w:tcPr>
          <w:p>
            <w:pPr>
              <w:spacing w:before="0" w:after="0" w:line="276" w:lineRule="auto"/>
            </w:pPr>
            <w:r>
              <w:rPr>
                <w:rFonts w:ascii="Calibri" w:hAnsi="Calibri" w:eastAsia="Calibri"/>
                <w:b/>
                <w:i w:val="0"/>
                <w:color w:val="1F4D78"/>
                <w:sz w:val="20"/>
              </w:rPr>
              <w:t>Output Goal</w:t>
            </w:r>
          </w:p>
        </w:tc>
        <w:tc>
          <w:tcPr>
            <w:tcW w:type="dxa" w:w="6912"/>
            <w:vAlign w:val="center"/>
          </w:tcPr>
          <w:p>
            <w:pPr>
              <w:spacing w:before="0" w:after="0" w:line="276" w:lineRule="auto"/>
            </w:pPr>
            <w:r>
              <w:rPr>
                <w:rFonts w:ascii="Calibri" w:hAnsi="Calibri" w:eastAsia="Calibri"/>
                <w:b w:val="0"/>
                <w:i w:val="0"/>
                <w:color w:val="16273D"/>
                <w:sz w:val="22"/>
              </w:rPr>
              <w:t>To explain the end-to-end user workflow from dashboard setup up to compliance, funding, liquidation, updates, and incentives.</w:t>
            </w:r>
          </w:p>
        </w:tc>
      </w:tr>
      <w:tr>
        <w:tc>
          <w:tcPr>
            <w:tcW w:type="dxa" w:w="2448"/>
            <w:vAlign w:val="center"/>
            <w:shd w:fill="EAF1FB"/>
          </w:tcPr>
          <w:p>
            <w:pPr>
              <w:spacing w:before="0" w:after="0" w:line="276" w:lineRule="auto"/>
            </w:pPr>
            <w:r>
              <w:rPr>
                <w:rFonts w:ascii="Calibri" w:hAnsi="Calibri" w:eastAsia="Calibri"/>
                <w:b/>
                <w:i w:val="0"/>
                <w:color w:val="1F4D78"/>
                <w:sz w:val="20"/>
              </w:rPr>
              <w:t>Tone</w:t>
            </w:r>
          </w:p>
        </w:tc>
        <w:tc>
          <w:tcPr>
            <w:tcW w:type="dxa" w:w="6912"/>
            <w:vAlign w:val="center"/>
          </w:tcPr>
          <w:p>
            <w:pPr>
              <w:spacing w:before="0" w:after="0" w:line="276" w:lineRule="auto"/>
            </w:pPr>
            <w:r>
              <w:rPr>
                <w:rFonts w:ascii="Calibri" w:hAnsi="Calibri" w:eastAsia="Calibri"/>
                <w:b w:val="0"/>
                <w:i w:val="0"/>
                <w:color w:val="16273D"/>
                <w:sz w:val="22"/>
              </w:rPr>
              <w:t>Taglish, presenter-friendly, and detailed enough for demo, defense, or onboarding use.</w:t>
            </w:r>
          </w:p>
        </w:tc>
      </w:tr>
    </w:tbl>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How to Use This Script</w:t>
            </w:r>
          </w:p>
        </w:tc>
      </w:tr>
      <w:tr>
        <w:tc>
          <w:tcPr>
            <w:tcW w:type="dxa" w:w="9360"/>
          </w:tcPr>
          <w:p>
            <w:pPr>
              <w:spacing w:before="0" w:after="0" w:line="276" w:lineRule="auto"/>
            </w:pPr>
            <w:r>
              <w:rPr>
                <w:rFonts w:ascii="Calibri" w:hAnsi="Calibri" w:eastAsia="Calibri"/>
                <w:b w:val="0"/>
                <w:i w:val="0"/>
                <w:color w:val="16273D"/>
                <w:sz w:val="22"/>
              </w:rPr>
              <w:t>Pwede itong basahin almost word-for-word habang nagde-demo, o gamitin bilang speaking guide kung gusto mo ng mas natural na delivery.</w:t>
            </w:r>
          </w:p>
        </w:tc>
      </w:tr>
      <w:tr>
        <w:tc>
          <w:tcPr>
            <w:tcW w:type="dxa" w:w="9360"/>
          </w:tcPr>
          <w:p>
            <w:pPr>
              <w:spacing w:before="0" w:after="0" w:line="276" w:lineRule="auto"/>
            </w:pPr>
            <w:r>
              <w:rPr>
                <w:rFonts w:ascii="Calibri" w:hAnsi="Calibri" w:eastAsia="Calibri"/>
                <w:b w:val="0"/>
                <w:i w:val="0"/>
                <w:color w:val="16273D"/>
                <w:sz w:val="22"/>
              </w:rPr>
              <w:t>Ang flow na ito ay naka-base sa current user portal modules: Dashboard, Organization Profile, Document Submissions, Budget Requests, Liquidation Reports, YPOP Incentive, News Releases, at Notifications.</w:t>
            </w:r>
          </w:p>
        </w:tc>
      </w:tr>
      <w:tr>
        <w:tc>
          <w:tcPr>
            <w:tcW w:type="dxa" w:w="9360"/>
          </w:tcPr>
          <w:p>
            <w:pPr>
              <w:spacing w:before="0" w:after="0" w:line="276" w:lineRule="auto"/>
            </w:pPr>
            <w:r>
              <w:rPr>
                <w:rFonts w:ascii="Calibri" w:hAnsi="Calibri" w:eastAsia="Calibri"/>
                <w:b w:val="0"/>
                <w:i w:val="0"/>
                <w:color w:val="16273D"/>
                <w:sz w:val="22"/>
              </w:rPr>
              <w:t>Kung may kulang na sample data sa demo environment, gamitin ang transition lines at expected outcome statements para maipaliwanag pa rin ang workflow.</w:t>
            </w:r>
          </w:p>
        </w:tc>
      </w:tr>
    </w:tbl>
    <w:p/>
    <w:p>
      <w:pPr>
        <w:pStyle w:val="Heading1"/>
      </w:pPr>
      <w:r>
        <w:t>Coverage Summary</w:t>
      </w:r>
    </w:p>
    <w:p>
      <w:r>
        <w:t>Ito ang mabilis na reference ng mga sections na sakop ng script at kung ano ang primary focus ng bawat bahagi.</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shd w:fill="EAF1FB"/>
          </w:tcPr>
          <w:p>
            <w:pPr>
              <w:spacing w:before="0" w:after="0" w:line="276" w:lineRule="auto"/>
            </w:pPr>
            <w:r>
              <w:rPr>
                <w:rFonts w:ascii="Calibri" w:hAnsi="Calibri" w:eastAsia="Calibri"/>
                <w:b/>
                <w:i w:val="0"/>
                <w:color w:val="1F4D78"/>
                <w:sz w:val="20"/>
              </w:rPr>
              <w:t>Section</w:t>
            </w:r>
          </w:p>
        </w:tc>
        <w:tc>
          <w:tcPr>
            <w:tcW w:type="dxa" w:w="3311"/>
            <w:shd w:fill="EAF1FB"/>
          </w:tcPr>
          <w:p>
            <w:pPr>
              <w:spacing w:before="0" w:after="0" w:line="276" w:lineRule="auto"/>
            </w:pPr>
            <w:r>
              <w:rPr>
                <w:rFonts w:ascii="Calibri" w:hAnsi="Calibri" w:eastAsia="Calibri"/>
                <w:b/>
                <w:i w:val="0"/>
                <w:color w:val="1F4D78"/>
                <w:sz w:val="20"/>
              </w:rPr>
              <w:t>Module / Screen</w:t>
            </w:r>
          </w:p>
        </w:tc>
        <w:tc>
          <w:tcPr>
            <w:tcW w:type="dxa" w:w="4608"/>
            <w:shd w:fill="EAF1FB"/>
          </w:tcPr>
          <w:p>
            <w:pPr>
              <w:spacing w:before="0" w:after="0" w:line="276" w:lineRule="auto"/>
            </w:pPr>
            <w:r>
              <w:rPr>
                <w:rFonts w:ascii="Calibri" w:hAnsi="Calibri" w:eastAsia="Calibri"/>
                <w:b/>
                <w:i w:val="0"/>
                <w:color w:val="1F4D78"/>
                <w:sz w:val="20"/>
              </w:rPr>
              <w:t>Primary Focus</w:t>
            </w:r>
          </w:p>
        </w:tc>
      </w:tr>
      <w:tr>
        <w:tc>
          <w:tcPr>
            <w:tcW w:type="dxa" w:w="1440"/>
            <w:vAlign w:val="center"/>
          </w:tcPr>
          <w:p>
            <w:pPr>
              <w:spacing w:before="0" w:after="0" w:line="276" w:lineRule="auto"/>
            </w:pPr>
            <w:r>
              <w:rPr>
                <w:rFonts w:ascii="Calibri" w:hAnsi="Calibri" w:eastAsia="Calibri"/>
                <w:b w:val="0"/>
                <w:i w:val="0"/>
                <w:color w:val="16273D"/>
                <w:sz w:val="22"/>
              </w:rPr>
              <w:t>1</w:t>
            </w:r>
          </w:p>
        </w:tc>
        <w:tc>
          <w:tcPr>
            <w:tcW w:type="dxa" w:w="3311"/>
            <w:vAlign w:val="center"/>
          </w:tcPr>
          <w:p>
            <w:pPr>
              <w:spacing w:before="0" w:after="0" w:line="276" w:lineRule="auto"/>
            </w:pPr>
            <w:r>
              <w:rPr>
                <w:rFonts w:ascii="Calibri" w:hAnsi="Calibri" w:eastAsia="Calibri"/>
                <w:b w:val="0"/>
                <w:i w:val="0"/>
                <w:color w:val="16273D"/>
                <w:sz w:val="22"/>
              </w:rPr>
              <w:t>Dashboard</w:t>
            </w:r>
          </w:p>
        </w:tc>
        <w:tc>
          <w:tcPr>
            <w:tcW w:type="dxa" w:w="4608"/>
            <w:vAlign w:val="center"/>
          </w:tcPr>
          <w:p>
            <w:pPr>
              <w:spacing w:before="0" w:after="0" w:line="276" w:lineRule="auto"/>
            </w:pPr>
            <w:r>
              <w:rPr>
                <w:rFonts w:ascii="Calibri" w:hAnsi="Calibri" w:eastAsia="Calibri"/>
                <w:b w:val="0"/>
                <w:i w:val="0"/>
                <w:color w:val="16273D"/>
                <w:sz w:val="22"/>
              </w:rPr>
              <w:t>Overall portal orientation and workflow status</w:t>
            </w:r>
          </w:p>
        </w:tc>
      </w:tr>
      <w:tr>
        <w:tc>
          <w:tcPr>
            <w:tcW w:type="dxa" w:w="1440"/>
            <w:vAlign w:val="center"/>
          </w:tcPr>
          <w:p>
            <w:pPr>
              <w:spacing w:before="0" w:after="0" w:line="276" w:lineRule="auto"/>
            </w:pPr>
            <w:r>
              <w:rPr>
                <w:rFonts w:ascii="Calibri" w:hAnsi="Calibri" w:eastAsia="Calibri"/>
                <w:b w:val="0"/>
                <w:i w:val="0"/>
                <w:color w:val="16273D"/>
                <w:sz w:val="22"/>
              </w:rPr>
              <w:t>2</w:t>
            </w:r>
          </w:p>
        </w:tc>
        <w:tc>
          <w:tcPr>
            <w:tcW w:type="dxa" w:w="3311"/>
            <w:vAlign w:val="center"/>
          </w:tcPr>
          <w:p>
            <w:pPr>
              <w:spacing w:before="0" w:after="0" w:line="276" w:lineRule="auto"/>
            </w:pPr>
            <w:r>
              <w:rPr>
                <w:rFonts w:ascii="Calibri" w:hAnsi="Calibri" w:eastAsia="Calibri"/>
                <w:b w:val="0"/>
                <w:i w:val="0"/>
                <w:color w:val="16273D"/>
                <w:sz w:val="22"/>
              </w:rPr>
              <w:t>Organization Profile</w:t>
            </w:r>
          </w:p>
        </w:tc>
        <w:tc>
          <w:tcPr>
            <w:tcW w:type="dxa" w:w="4608"/>
            <w:vAlign w:val="center"/>
          </w:tcPr>
          <w:p>
            <w:pPr>
              <w:spacing w:before="0" w:after="0" w:line="276" w:lineRule="auto"/>
            </w:pPr>
            <w:r>
              <w:rPr>
                <w:rFonts w:ascii="Calibri" w:hAnsi="Calibri" w:eastAsia="Calibri"/>
                <w:b w:val="0"/>
                <w:i w:val="0"/>
                <w:color w:val="16273D"/>
                <w:sz w:val="22"/>
              </w:rPr>
              <w:t>Initial compliance setup and profile verification</w:t>
            </w:r>
          </w:p>
        </w:tc>
      </w:tr>
      <w:tr>
        <w:tc>
          <w:tcPr>
            <w:tcW w:type="dxa" w:w="1440"/>
            <w:vAlign w:val="center"/>
          </w:tcPr>
          <w:p>
            <w:pPr>
              <w:spacing w:before="0" w:after="0" w:line="276" w:lineRule="auto"/>
            </w:pPr>
            <w:r>
              <w:rPr>
                <w:rFonts w:ascii="Calibri" w:hAnsi="Calibri" w:eastAsia="Calibri"/>
                <w:b w:val="0"/>
                <w:i w:val="0"/>
                <w:color w:val="16273D"/>
                <w:sz w:val="22"/>
              </w:rPr>
              <w:t>3</w:t>
            </w:r>
          </w:p>
        </w:tc>
        <w:tc>
          <w:tcPr>
            <w:tcW w:type="dxa" w:w="3311"/>
            <w:vAlign w:val="center"/>
          </w:tcPr>
          <w:p>
            <w:pPr>
              <w:spacing w:before="0" w:after="0" w:line="276" w:lineRule="auto"/>
            </w:pPr>
            <w:r>
              <w:rPr>
                <w:rFonts w:ascii="Calibri" w:hAnsi="Calibri" w:eastAsia="Calibri"/>
                <w:b w:val="0"/>
                <w:i w:val="0"/>
                <w:color w:val="16273D"/>
                <w:sz w:val="22"/>
              </w:rPr>
              <w:t>Document Submissions</w:t>
            </w:r>
          </w:p>
        </w:tc>
        <w:tc>
          <w:tcPr>
            <w:tcW w:type="dxa" w:w="4608"/>
            <w:vAlign w:val="center"/>
          </w:tcPr>
          <w:p>
            <w:pPr>
              <w:spacing w:before="0" w:after="0" w:line="276" w:lineRule="auto"/>
            </w:pPr>
            <w:r>
              <w:rPr>
                <w:rFonts w:ascii="Calibri" w:hAnsi="Calibri" w:eastAsia="Calibri"/>
                <w:b w:val="0"/>
                <w:i w:val="0"/>
                <w:color w:val="16273D"/>
                <w:sz w:val="22"/>
              </w:rPr>
              <w:t>Uploading, OCR review, and admin approval flow</w:t>
            </w:r>
          </w:p>
        </w:tc>
      </w:tr>
      <w:tr>
        <w:tc>
          <w:tcPr>
            <w:tcW w:type="dxa" w:w="1440"/>
            <w:vAlign w:val="center"/>
          </w:tcPr>
          <w:p>
            <w:pPr>
              <w:spacing w:before="0" w:after="0" w:line="276" w:lineRule="auto"/>
            </w:pPr>
            <w:r>
              <w:rPr>
                <w:rFonts w:ascii="Calibri" w:hAnsi="Calibri" w:eastAsia="Calibri"/>
                <w:b w:val="0"/>
                <w:i w:val="0"/>
                <w:color w:val="16273D"/>
                <w:sz w:val="22"/>
              </w:rPr>
              <w:t>4</w:t>
            </w:r>
          </w:p>
        </w:tc>
        <w:tc>
          <w:tcPr>
            <w:tcW w:type="dxa" w:w="3311"/>
            <w:vAlign w:val="center"/>
          </w:tcPr>
          <w:p>
            <w:pPr>
              <w:spacing w:before="0" w:after="0" w:line="276" w:lineRule="auto"/>
            </w:pPr>
            <w:r>
              <w:rPr>
                <w:rFonts w:ascii="Calibri" w:hAnsi="Calibri" w:eastAsia="Calibri"/>
                <w:b w:val="0"/>
                <w:i w:val="0"/>
                <w:color w:val="16273D"/>
                <w:sz w:val="22"/>
              </w:rPr>
              <w:t>Budget Requests</w:t>
            </w:r>
          </w:p>
        </w:tc>
        <w:tc>
          <w:tcPr>
            <w:tcW w:type="dxa" w:w="4608"/>
            <w:vAlign w:val="center"/>
          </w:tcPr>
          <w:p>
            <w:pPr>
              <w:spacing w:before="0" w:after="0" w:line="276" w:lineRule="auto"/>
            </w:pPr>
            <w:r>
              <w:rPr>
                <w:rFonts w:ascii="Calibri" w:hAnsi="Calibri" w:eastAsia="Calibri"/>
                <w:b w:val="0"/>
                <w:i w:val="0"/>
                <w:color w:val="16273D"/>
                <w:sz w:val="22"/>
              </w:rPr>
              <w:t>Funding request creation, attachment, and review states</w:t>
            </w:r>
          </w:p>
        </w:tc>
      </w:tr>
      <w:tr>
        <w:tc>
          <w:tcPr>
            <w:tcW w:type="dxa" w:w="1440"/>
            <w:vAlign w:val="center"/>
          </w:tcPr>
          <w:p>
            <w:pPr>
              <w:spacing w:before="0" w:after="0" w:line="276" w:lineRule="auto"/>
            </w:pPr>
            <w:r>
              <w:rPr>
                <w:rFonts w:ascii="Calibri" w:hAnsi="Calibri" w:eastAsia="Calibri"/>
                <w:b w:val="0"/>
                <w:i w:val="0"/>
                <w:color w:val="16273D"/>
                <w:sz w:val="22"/>
              </w:rPr>
              <w:t>5</w:t>
            </w:r>
          </w:p>
        </w:tc>
        <w:tc>
          <w:tcPr>
            <w:tcW w:type="dxa" w:w="3311"/>
            <w:vAlign w:val="center"/>
          </w:tcPr>
          <w:p>
            <w:pPr>
              <w:spacing w:before="0" w:after="0" w:line="276" w:lineRule="auto"/>
            </w:pPr>
            <w:r>
              <w:rPr>
                <w:rFonts w:ascii="Calibri" w:hAnsi="Calibri" w:eastAsia="Calibri"/>
                <w:b w:val="0"/>
                <w:i w:val="0"/>
                <w:color w:val="16273D"/>
                <w:sz w:val="22"/>
              </w:rPr>
              <w:t>Liquidation Reports</w:t>
            </w:r>
          </w:p>
        </w:tc>
        <w:tc>
          <w:tcPr>
            <w:tcW w:type="dxa" w:w="4608"/>
            <w:vAlign w:val="center"/>
          </w:tcPr>
          <w:p>
            <w:pPr>
              <w:spacing w:before="0" w:after="0" w:line="276" w:lineRule="auto"/>
            </w:pPr>
            <w:r>
              <w:rPr>
                <w:rFonts w:ascii="Calibri" w:hAnsi="Calibri" w:eastAsia="Calibri"/>
                <w:b w:val="0"/>
                <w:i w:val="0"/>
                <w:color w:val="16273D"/>
                <w:sz w:val="22"/>
              </w:rPr>
              <w:t>Post-activity reporting and liquidation follow-through</w:t>
            </w:r>
          </w:p>
        </w:tc>
      </w:tr>
      <w:tr>
        <w:tc>
          <w:tcPr>
            <w:tcW w:type="dxa" w:w="1440"/>
            <w:vAlign w:val="center"/>
          </w:tcPr>
          <w:p>
            <w:pPr>
              <w:spacing w:before="0" w:after="0" w:line="276" w:lineRule="auto"/>
            </w:pPr>
            <w:r>
              <w:rPr>
                <w:rFonts w:ascii="Calibri" w:hAnsi="Calibri" w:eastAsia="Calibri"/>
                <w:b w:val="0"/>
                <w:i w:val="0"/>
                <w:color w:val="16273D"/>
                <w:sz w:val="22"/>
              </w:rPr>
              <w:t>6</w:t>
            </w:r>
          </w:p>
        </w:tc>
        <w:tc>
          <w:tcPr>
            <w:tcW w:type="dxa" w:w="3311"/>
            <w:vAlign w:val="center"/>
          </w:tcPr>
          <w:p>
            <w:pPr>
              <w:spacing w:before="0" w:after="0" w:line="276" w:lineRule="auto"/>
            </w:pPr>
            <w:r>
              <w:rPr>
                <w:rFonts w:ascii="Calibri" w:hAnsi="Calibri" w:eastAsia="Calibri"/>
                <w:b w:val="0"/>
                <w:i w:val="0"/>
                <w:color w:val="16273D"/>
                <w:sz w:val="22"/>
              </w:rPr>
              <w:t>YPOP Incentive</w:t>
            </w:r>
          </w:p>
        </w:tc>
        <w:tc>
          <w:tcPr>
            <w:tcW w:type="dxa" w:w="4608"/>
            <w:vAlign w:val="center"/>
          </w:tcPr>
          <w:p>
            <w:pPr>
              <w:spacing w:before="0" w:after="0" w:line="276" w:lineRule="auto"/>
            </w:pPr>
            <w:r>
              <w:rPr>
                <w:rFonts w:ascii="Calibri" w:hAnsi="Calibri" w:eastAsia="Calibri"/>
                <w:b w:val="0"/>
                <w:i w:val="0"/>
                <w:color w:val="16273D"/>
                <w:sz w:val="22"/>
              </w:rPr>
              <w:t>Semester-based incentive submission and qualification logic</w:t>
            </w:r>
          </w:p>
        </w:tc>
      </w:tr>
      <w:tr>
        <w:tc>
          <w:tcPr>
            <w:tcW w:type="dxa" w:w="1440"/>
            <w:vAlign w:val="center"/>
          </w:tcPr>
          <w:p>
            <w:pPr>
              <w:spacing w:before="0" w:after="0" w:line="276" w:lineRule="auto"/>
            </w:pPr>
            <w:r>
              <w:rPr>
                <w:rFonts w:ascii="Calibri" w:hAnsi="Calibri" w:eastAsia="Calibri"/>
                <w:b w:val="0"/>
                <w:i w:val="0"/>
                <w:color w:val="16273D"/>
                <w:sz w:val="22"/>
              </w:rPr>
              <w:t>7</w:t>
            </w:r>
          </w:p>
        </w:tc>
        <w:tc>
          <w:tcPr>
            <w:tcW w:type="dxa" w:w="3311"/>
            <w:vAlign w:val="center"/>
          </w:tcPr>
          <w:p>
            <w:pPr>
              <w:spacing w:before="0" w:after="0" w:line="276" w:lineRule="auto"/>
            </w:pPr>
            <w:r>
              <w:rPr>
                <w:rFonts w:ascii="Calibri" w:hAnsi="Calibri" w:eastAsia="Calibri"/>
                <w:b w:val="0"/>
                <w:i w:val="0"/>
                <w:color w:val="16273D"/>
                <w:sz w:val="22"/>
              </w:rPr>
              <w:t>News Releases</w:t>
            </w:r>
          </w:p>
        </w:tc>
        <w:tc>
          <w:tcPr>
            <w:tcW w:type="dxa" w:w="4608"/>
            <w:vAlign w:val="center"/>
          </w:tcPr>
          <w:p>
            <w:pPr>
              <w:spacing w:before="0" w:after="0" w:line="276" w:lineRule="auto"/>
            </w:pPr>
            <w:r>
              <w:rPr>
                <w:rFonts w:ascii="Calibri" w:hAnsi="Calibri" w:eastAsia="Calibri"/>
                <w:b w:val="0"/>
                <w:i w:val="0"/>
                <w:color w:val="16273D"/>
                <w:sz w:val="22"/>
              </w:rPr>
              <w:t>User-facing updates and announcements</w:t>
            </w:r>
          </w:p>
        </w:tc>
      </w:tr>
      <w:tr>
        <w:tc>
          <w:tcPr>
            <w:tcW w:type="dxa" w:w="1440"/>
            <w:vAlign w:val="center"/>
          </w:tcPr>
          <w:p>
            <w:pPr>
              <w:spacing w:before="0" w:after="0" w:line="276" w:lineRule="auto"/>
            </w:pPr>
            <w:r>
              <w:rPr>
                <w:rFonts w:ascii="Calibri" w:hAnsi="Calibri" w:eastAsia="Calibri"/>
                <w:b w:val="0"/>
                <w:i w:val="0"/>
                <w:color w:val="16273D"/>
                <w:sz w:val="22"/>
              </w:rPr>
              <w:t>8</w:t>
            </w:r>
          </w:p>
        </w:tc>
        <w:tc>
          <w:tcPr>
            <w:tcW w:type="dxa" w:w="3311"/>
            <w:vAlign w:val="center"/>
          </w:tcPr>
          <w:p>
            <w:pPr>
              <w:spacing w:before="0" w:after="0" w:line="276" w:lineRule="auto"/>
            </w:pPr>
            <w:r>
              <w:rPr>
                <w:rFonts w:ascii="Calibri" w:hAnsi="Calibri" w:eastAsia="Calibri"/>
                <w:b w:val="0"/>
                <w:i w:val="0"/>
                <w:color w:val="16273D"/>
                <w:sz w:val="22"/>
              </w:rPr>
              <w:t>Notifications</w:t>
            </w:r>
          </w:p>
        </w:tc>
        <w:tc>
          <w:tcPr>
            <w:tcW w:type="dxa" w:w="4608"/>
            <w:vAlign w:val="center"/>
          </w:tcPr>
          <w:p>
            <w:pPr>
              <w:spacing w:before="0" w:after="0" w:line="276" w:lineRule="auto"/>
            </w:pPr>
            <w:r>
              <w:rPr>
                <w:rFonts w:ascii="Calibri" w:hAnsi="Calibri" w:eastAsia="Calibri"/>
                <w:b w:val="0"/>
                <w:i w:val="0"/>
                <w:color w:val="16273D"/>
                <w:sz w:val="22"/>
              </w:rPr>
              <w:t>Action reminders and status awareness</w:t>
            </w:r>
          </w:p>
        </w:tc>
      </w:tr>
    </w:tbl>
    <w:p/>
    <w:p>
      <w:pPr>
        <w:pStyle w:val="Heading1"/>
      </w:pPr>
      <w:r>
        <w:t>1. Dashboard Orientation</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agad kung paano naiintindihan ng user ang kabuuang status ng organization sa pagpasok pa lang sa portal.</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Mag-sign in bilang user at ipakita ang dashboard landing page.</w:t>
      </w:r>
    </w:p>
    <w:p>
      <w:pPr>
        <w:pStyle w:val="ListNumber"/>
        <w:spacing w:before="0" w:after="40" w:line="276" w:lineRule="auto"/>
      </w:pPr>
      <w:r>
        <w:rPr>
          <w:rFonts w:ascii="Calibri" w:hAnsi="Calibri" w:eastAsia="Calibri"/>
          <w:b w:val="0"/>
          <w:i w:val="0"/>
          <w:color w:val="16273D"/>
          <w:sz w:val="22"/>
        </w:rPr>
        <w:t>I-tour ang left navigation para makita ang Home, Compliance, Grants &amp; Incentives, at News Releases.</w:t>
      </w:r>
    </w:p>
    <w:p>
      <w:pPr>
        <w:pStyle w:val="ListNumber"/>
        <w:spacing w:before="0" w:after="40" w:line="276" w:lineRule="auto"/>
      </w:pPr>
      <w:r>
        <w:rPr>
          <w:rFonts w:ascii="Calibri" w:hAnsi="Calibri" w:eastAsia="Calibri"/>
          <w:b w:val="0"/>
          <w:i w:val="0"/>
          <w:color w:val="16273D"/>
          <w:sz w:val="22"/>
        </w:rPr>
        <w:t>I-highlight ang progress or readiness cards para makita kung anong workflow ang tapos, kulang, o naka-pending pa.</w:t>
      </w:r>
    </w:p>
    <w:p>
      <w:pPr>
        <w:pStyle w:val="Heading2"/>
      </w:pPr>
      <w:r>
        <w:t>Sample Presenter Script</w:t>
      </w:r>
    </w:p>
    <w:p>
      <w:pPr>
        <w:spacing w:before="0" w:after="80" w:line="276" w:lineRule="auto"/>
      </w:pPr>
      <w:r>
        <w:rPr>
          <w:rFonts w:ascii="Calibri" w:hAnsi="Calibri" w:eastAsia="Calibri"/>
          <w:b w:val="0"/>
          <w:i w:val="0"/>
          <w:color w:val="16273D"/>
          <w:sz w:val="22"/>
        </w:rPr>
        <w:t>Sa user side, ito ang pinakaunang makikita ng organization representative pagkapasok sa portal. Dito pa lang, may quick overview na agad sila kung nasaan na sila sa buong compliance process.</w:t>
      </w:r>
    </w:p>
    <w:p>
      <w:pPr>
        <w:spacing w:before="0" w:after="80" w:line="276" w:lineRule="auto"/>
      </w:pPr>
      <w:r>
        <w:rPr>
          <w:rFonts w:ascii="Calibri" w:hAnsi="Calibri" w:eastAsia="Calibri"/>
          <w:b w:val="0"/>
          <w:i w:val="0"/>
          <w:color w:val="16273D"/>
          <w:sz w:val="22"/>
        </w:rPr>
        <w:t>Makikita natin dito na hindi hiwa-hiwalay ang proseso. From profile setup, document submission, budget request, liquidation, hanggang YPOP incentive, nasa iisang portal lang ang progress tracking.</w:t>
      </w:r>
    </w:p>
    <w:p>
      <w:pPr>
        <w:spacing w:before="0" w:after="80" w:line="276" w:lineRule="auto"/>
      </w:pPr>
      <w:r>
        <w:rPr>
          <w:rFonts w:ascii="Calibri" w:hAnsi="Calibri" w:eastAsia="Calibri"/>
          <w:b w:val="0"/>
          <w:i w:val="0"/>
          <w:color w:val="16273D"/>
          <w:sz w:val="22"/>
        </w:rPr>
        <w:t>Maganda itong ipakita sa panel dahil pinapakita nito na ang system ay hindi lang storage ng files, kundi guided workflow talaga para sa user.</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Centralized ang user workflow sa iisang dashboard.</w:t>
      </w:r>
    </w:p>
    <w:p>
      <w:pPr>
        <w:pStyle w:val="ListBullet"/>
        <w:spacing w:before="0" w:after="40" w:line="276" w:lineRule="auto"/>
      </w:pPr>
      <w:r>
        <w:rPr>
          <w:rFonts w:ascii="Calibri" w:hAnsi="Calibri" w:eastAsia="Calibri"/>
          <w:b w:val="0"/>
          <w:i w:val="0"/>
          <w:color w:val="16273D"/>
          <w:sz w:val="22"/>
        </w:rPr>
        <w:t>Madaling makita ng user kung anong next step ang kailangan niyang gawin.</w:t>
      </w:r>
    </w:p>
    <w:p>
      <w:pPr>
        <w:pStyle w:val="ListBullet"/>
        <w:spacing w:before="0" w:after="40" w:line="276" w:lineRule="auto"/>
      </w:pPr>
      <w:r>
        <w:rPr>
          <w:rFonts w:ascii="Calibri" w:hAnsi="Calibri" w:eastAsia="Calibri"/>
          <w:b w:val="0"/>
          <w:i w:val="0"/>
          <w:color w:val="16273D"/>
          <w:sz w:val="22"/>
        </w:rPr>
        <w:t>Nababawasan ang confusion dahil may status cues na agad bago pa pumasok sa bawat module.</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2. Organization Profile Setup and Verification</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Ipaliwanag na ang profile ang foundation ng buong compliance workflow at kailangan muna itong kumpleto bago makagalaw sa ibang modules.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Organization Profile section.</w:t>
      </w:r>
    </w:p>
    <w:p>
      <w:pPr>
        <w:pStyle w:val="ListNumber"/>
        <w:spacing w:before="0" w:after="40" w:line="276" w:lineRule="auto"/>
      </w:pPr>
      <w:r>
        <w:rPr>
          <w:rFonts w:ascii="Calibri" w:hAnsi="Calibri" w:eastAsia="Calibri"/>
          <w:b w:val="0"/>
          <w:i w:val="0"/>
          <w:color w:val="16273D"/>
          <w:sz w:val="22"/>
        </w:rPr>
        <w:t>Ipakita ang required fields tulad ng organization name, email, contact number, district, barangay, classification, advocacy, adviser, representative, at address.</w:t>
      </w:r>
    </w:p>
    <w:p>
      <w:pPr>
        <w:pStyle w:val="ListNumber"/>
        <w:spacing w:before="0" w:after="40" w:line="276" w:lineRule="auto"/>
      </w:pPr>
      <w:r>
        <w:rPr>
          <w:rFonts w:ascii="Calibri" w:hAnsi="Calibri" w:eastAsia="Calibri"/>
          <w:b w:val="0"/>
          <w:i w:val="0"/>
          <w:color w:val="16273D"/>
          <w:sz w:val="22"/>
        </w:rPr>
        <w:t>Kung available sa demo data, ipakita rin ang difference ng existing organization versus bagong organization flow.</w:t>
      </w:r>
    </w:p>
    <w:p>
      <w:pPr>
        <w:pStyle w:val="ListNumber"/>
        <w:spacing w:before="0" w:after="40" w:line="276" w:lineRule="auto"/>
      </w:pPr>
      <w:r>
        <w:rPr>
          <w:rFonts w:ascii="Calibri" w:hAnsi="Calibri" w:eastAsia="Calibri"/>
          <w:b w:val="0"/>
          <w:i w:val="0"/>
          <w:color w:val="16273D"/>
          <w:sz w:val="22"/>
        </w:rPr>
        <w:t>I-save ang profile at ipaliwanag ang pending review or verified status.</w:t>
      </w:r>
    </w:p>
    <w:p>
      <w:pPr>
        <w:pStyle w:val="Heading2"/>
      </w:pPr>
      <w:r>
        <w:t>Sample Presenter Script</w:t>
      </w:r>
    </w:p>
    <w:p>
      <w:pPr>
        <w:spacing w:before="0" w:after="80" w:line="276" w:lineRule="auto"/>
      </w:pPr>
      <w:r>
        <w:rPr>
          <w:rFonts w:ascii="Calibri" w:hAnsi="Calibri" w:eastAsia="Calibri"/>
          <w:b w:val="0"/>
          <w:i w:val="0"/>
          <w:color w:val="16273D"/>
          <w:sz w:val="22"/>
        </w:rPr>
        <w:t>Bago payagan ang organization na mag-upload ng documents o mag-request ng budget, kailangan munang ma-complete ang organization profile.</w:t>
      </w:r>
    </w:p>
    <w:p>
      <w:pPr>
        <w:spacing w:before="0" w:after="80" w:line="276" w:lineRule="auto"/>
      </w:pPr>
      <w:r>
        <w:rPr>
          <w:rFonts w:ascii="Calibri" w:hAnsi="Calibri" w:eastAsia="Calibri"/>
          <w:b w:val="0"/>
          <w:i w:val="0"/>
          <w:color w:val="16273D"/>
          <w:sz w:val="22"/>
        </w:rPr>
        <w:t>Mapapansin dito na hindi lang simpleng name at contact details ang hinihingi. Kasama rin ang classification, advocacy, at representative details dahil ito ang basehan ng admin para ma-validate ang legitimacy at category ng organization.</w:t>
      </w:r>
    </w:p>
    <w:p>
      <w:pPr>
        <w:spacing w:before="0" w:after="80" w:line="276" w:lineRule="auto"/>
      </w:pPr>
      <w:r>
        <w:rPr>
          <w:rFonts w:ascii="Calibri" w:hAnsi="Calibri" w:eastAsia="Calibri"/>
          <w:b w:val="0"/>
          <w:i w:val="0"/>
          <w:color w:val="16273D"/>
          <w:sz w:val="22"/>
        </w:rPr>
        <w:t>Kapag na-save ang profile, hindi ibig sabihin automatic approved na agad. Dumadaan pa rin ito sa review process ng admin, kaya may malinaw na profile status gaya ng pending review, verified, o needs update.</w:t>
      </w:r>
    </w:p>
    <w:p>
      <w:pPr>
        <w:spacing w:before="0" w:after="80" w:line="276" w:lineRule="auto"/>
      </w:pPr>
      <w:r>
        <w:rPr>
          <w:rFonts w:ascii="Calibri" w:hAnsi="Calibri" w:eastAsia="Calibri"/>
          <w:b w:val="0"/>
          <w:i w:val="0"/>
          <w:color w:val="16273D"/>
          <w:sz w:val="22"/>
        </w:rPr>
        <w:t>Mahalagang banggitin sa demo na itong step na ito ang nagse-set ng data quality para sa mga susunod na transactions sa system.</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Profile completeness ang unang gate bago makapag-comply sa ibang modules.</w:t>
      </w:r>
    </w:p>
    <w:p>
      <w:pPr>
        <w:pStyle w:val="ListBullet"/>
        <w:spacing w:before="0" w:after="40" w:line="276" w:lineRule="auto"/>
      </w:pPr>
      <w:r>
        <w:rPr>
          <w:rFonts w:ascii="Calibri" w:hAnsi="Calibri" w:eastAsia="Calibri"/>
          <w:b w:val="0"/>
          <w:i w:val="0"/>
          <w:color w:val="16273D"/>
          <w:sz w:val="22"/>
        </w:rPr>
        <w:t>May admin validation layer, kaya controlled ang data quality.</w:t>
      </w:r>
    </w:p>
    <w:p>
      <w:pPr>
        <w:pStyle w:val="ListBullet"/>
        <w:spacing w:before="0" w:after="40" w:line="276" w:lineRule="auto"/>
      </w:pPr>
      <w:r>
        <w:rPr>
          <w:rFonts w:ascii="Calibri" w:hAnsi="Calibri" w:eastAsia="Calibri"/>
          <w:b w:val="0"/>
          <w:i w:val="0"/>
          <w:color w:val="16273D"/>
          <w:sz w:val="22"/>
        </w:rPr>
        <w:t>Clear ang distinction ng incomplete, pending review, verified, at needs update states.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3. Document Submissions and OCR-Assisted Review</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kung paano sinusupport ng portal ang structured document submission at user-side validation bago ito makarating sa admin.</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Document Submissions section.</w:t>
      </w:r>
    </w:p>
    <w:p>
      <w:pPr>
        <w:pStyle w:val="ListNumber"/>
        <w:spacing w:before="0" w:after="40" w:line="276" w:lineRule="auto"/>
      </w:pPr>
      <w:r>
        <w:rPr>
          <w:rFonts w:ascii="Calibri" w:hAnsi="Calibri" w:eastAsia="Calibri"/>
          <w:b w:val="0"/>
          <w:i w:val="0"/>
          <w:color w:val="16273D"/>
          <w:sz w:val="22"/>
        </w:rPr>
        <w:t>Ipakita ang listahan ng required templates tulad ng Constitution and By-Laws, Form B, officers and adviser list, members in good standing, Form A, at data request form.</w:t>
      </w:r>
    </w:p>
    <w:p>
      <w:pPr>
        <w:pStyle w:val="ListNumber"/>
        <w:spacing w:before="0" w:after="40" w:line="276" w:lineRule="auto"/>
      </w:pPr>
      <w:r>
        <w:rPr>
          <w:rFonts w:ascii="Calibri" w:hAnsi="Calibri" w:eastAsia="Calibri"/>
          <w:b w:val="0"/>
          <w:i w:val="0"/>
          <w:color w:val="16273D"/>
          <w:sz w:val="22"/>
        </w:rPr>
        <w:t>Mag-open ng isang upload slot at i-explain na PDF ang default, habang may specific slots na puwedeng PDF or XLSX.</w:t>
      </w:r>
    </w:p>
    <w:p>
      <w:pPr>
        <w:pStyle w:val="ListNumber"/>
        <w:spacing w:before="0" w:after="40" w:line="276" w:lineRule="auto"/>
      </w:pPr>
      <w:r>
        <w:rPr>
          <w:rFonts w:ascii="Calibri" w:hAnsi="Calibri" w:eastAsia="Calibri"/>
          <w:b w:val="0"/>
          <w:i w:val="0"/>
          <w:color w:val="16273D"/>
          <w:sz w:val="22"/>
        </w:rPr>
        <w:t>Ipakita ang OCR review modal kung available sa demo data, pati ang confirmation bago mag-submit for admin review.</w:t>
      </w:r>
    </w:p>
    <w:p>
      <w:pPr>
        <w:pStyle w:val="ListNumber"/>
        <w:spacing w:before="0" w:after="40" w:line="276" w:lineRule="auto"/>
      </w:pPr>
      <w:r>
        <w:rPr>
          <w:rFonts w:ascii="Calibri" w:hAnsi="Calibri" w:eastAsia="Calibri"/>
          <w:b w:val="0"/>
          <w:i w:val="0"/>
          <w:color w:val="16273D"/>
          <w:sz w:val="22"/>
        </w:rPr>
        <w:t>Ipakita rin ang approved, needs revision, or rejected states kung merong sample entries.</w:t>
      </w:r>
    </w:p>
    <w:p>
      <w:pPr>
        <w:pStyle w:val="Heading2"/>
      </w:pPr>
      <w:r>
        <w:t>Sample Presenter Script</w:t>
      </w:r>
    </w:p>
    <w:p>
      <w:pPr>
        <w:spacing w:before="0" w:after="80" w:line="276" w:lineRule="auto"/>
      </w:pPr>
      <w:r>
        <w:rPr>
          <w:rFonts w:ascii="Calibri" w:hAnsi="Calibri" w:eastAsia="Calibri"/>
          <w:b w:val="0"/>
          <w:i w:val="0"/>
          <w:color w:val="16273D"/>
          <w:sz w:val="22"/>
        </w:rPr>
        <w:t>Sa document submission flow, hindi pinapasa ng system ang burden sa user nang walang guidance. Nakalista na agad ang required documents at may corresponding template slots pa para mas malinaw kung ano ang kulang.</w:t>
      </w:r>
    </w:p>
    <w:p>
      <w:pPr>
        <w:spacing w:before="0" w:after="80" w:line="276" w:lineRule="auto"/>
      </w:pPr>
      <w:r>
        <w:rPr>
          <w:rFonts w:ascii="Calibri" w:hAnsi="Calibri" w:eastAsia="Calibri"/>
          <w:b w:val="0"/>
          <w:i w:val="0"/>
          <w:color w:val="16273D"/>
          <w:sz w:val="22"/>
        </w:rPr>
        <w:t>Isang importanteng feature dito ay ang OCR-assisted review. Bago tuluyang i-submit ang file, may pagkakataon ang user na makita ang extracted text or detected details para ma-double check kung tama ang na-upload.</w:t>
      </w:r>
    </w:p>
    <w:p>
      <w:pPr>
        <w:spacing w:before="0" w:after="80" w:line="276" w:lineRule="auto"/>
      </w:pPr>
      <w:r>
        <w:rPr>
          <w:rFonts w:ascii="Calibri" w:hAnsi="Calibri" w:eastAsia="Calibri"/>
          <w:b w:val="0"/>
          <w:i w:val="0"/>
          <w:color w:val="16273D"/>
          <w:sz w:val="22"/>
        </w:rPr>
        <w:t>Sa practical use, malaking tulong ito para mabawasan ang mali, maling file, o unreadable submissions bago pa ito i-review ng admin.</w:t>
      </w:r>
    </w:p>
    <w:p>
      <w:pPr>
        <w:spacing w:before="0" w:after="80" w:line="276" w:lineRule="auto"/>
      </w:pPr>
      <w:r>
        <w:rPr>
          <w:rFonts w:ascii="Calibri" w:hAnsi="Calibri" w:eastAsia="Calibri"/>
          <w:b w:val="0"/>
          <w:i w:val="0"/>
          <w:color w:val="16273D"/>
          <w:sz w:val="22"/>
        </w:rPr>
        <w:t>Kapag naisumite na, ang document ay magkakaroon ng admin-facing status tulad ng under review, needs revision, approved, o rejected. Ibig sabihin, transparent sa user kung ano ang nangyayari sa submission niya.</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May guided list ng documentary requirements.</w:t>
      </w:r>
    </w:p>
    <w:p>
      <w:pPr>
        <w:pStyle w:val="ListBullet"/>
        <w:spacing w:before="0" w:after="40" w:line="276" w:lineRule="auto"/>
      </w:pPr>
      <w:r>
        <w:rPr>
          <w:rFonts w:ascii="Calibri" w:hAnsi="Calibri" w:eastAsia="Calibri"/>
          <w:b w:val="0"/>
          <w:i w:val="0"/>
          <w:color w:val="16273D"/>
          <w:sz w:val="22"/>
        </w:rPr>
        <w:t>May OCR-assisted checking bago final submission.</w:t>
      </w:r>
    </w:p>
    <w:p>
      <w:pPr>
        <w:pStyle w:val="ListBullet"/>
        <w:spacing w:before="0" w:after="40" w:line="276" w:lineRule="auto"/>
      </w:pPr>
      <w:r>
        <w:rPr>
          <w:rFonts w:ascii="Calibri" w:hAnsi="Calibri" w:eastAsia="Calibri"/>
          <w:b w:val="0"/>
          <w:i w:val="0"/>
          <w:color w:val="16273D"/>
          <w:sz w:val="22"/>
        </w:rPr>
        <w:t>Transparent ang review lifecycle sa user through visible submission statuses and remarks.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4. Budget Request Workflow</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Ipaliwanag ang controlled request process para sa funding at kung paano ito naka-link sa profile at supporting documents.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Budget Requests section.</w:t>
      </w:r>
    </w:p>
    <w:p>
      <w:pPr>
        <w:pStyle w:val="ListNumber"/>
        <w:spacing w:before="0" w:after="40" w:line="276" w:lineRule="auto"/>
      </w:pPr>
      <w:r>
        <w:rPr>
          <w:rFonts w:ascii="Calibri" w:hAnsi="Calibri" w:eastAsia="Calibri"/>
          <w:b w:val="0"/>
          <w:i w:val="0"/>
          <w:color w:val="16273D"/>
          <w:sz w:val="22"/>
        </w:rPr>
        <w:t>Ipakita ang form fields tulad ng activity title, description, date, venue, requested amount, purpose category, at remarks.</w:t>
      </w:r>
    </w:p>
    <w:p>
      <w:pPr>
        <w:pStyle w:val="ListNumber"/>
        <w:spacing w:before="0" w:after="40" w:line="276" w:lineRule="auto"/>
      </w:pPr>
      <w:r>
        <w:rPr>
          <w:rFonts w:ascii="Calibri" w:hAnsi="Calibri" w:eastAsia="Calibri"/>
          <w:b w:val="0"/>
          <w:i w:val="0"/>
          <w:color w:val="16273D"/>
          <w:sz w:val="22"/>
        </w:rPr>
        <w:t>Ipakita na required ang attached budget file bago makumpleto ang submission.</w:t>
      </w:r>
    </w:p>
    <w:p>
      <w:pPr>
        <w:pStyle w:val="ListNumber"/>
        <w:spacing w:before="0" w:after="40" w:line="276" w:lineRule="auto"/>
      </w:pPr>
      <w:r>
        <w:rPr>
          <w:rFonts w:ascii="Calibri" w:hAnsi="Calibri" w:eastAsia="Calibri"/>
          <w:b w:val="0"/>
          <w:i w:val="0"/>
          <w:color w:val="16273D"/>
          <w:sz w:val="22"/>
        </w:rPr>
        <w:t>Kung may sample data, i-demo ang status progression from draft to submitted, under review, approved for FTF, hard copy submitted, at budget released.</w:t>
      </w:r>
    </w:p>
    <w:p>
      <w:pPr>
        <w:pStyle w:val="ListNumber"/>
        <w:spacing w:before="0" w:after="40" w:line="276" w:lineRule="auto"/>
      </w:pPr>
      <w:r>
        <w:rPr>
          <w:rFonts w:ascii="Calibri" w:hAnsi="Calibri" w:eastAsia="Calibri"/>
          <w:b w:val="0"/>
          <w:i w:val="0"/>
          <w:color w:val="16273D"/>
          <w:sz w:val="22"/>
        </w:rPr>
        <w:t>Ipakita rin kung paano nababasa ng user ang admin remarks kapag needs revision o rejected ang request.</w:t>
      </w:r>
    </w:p>
    <w:p>
      <w:pPr>
        <w:pStyle w:val="Heading2"/>
      </w:pPr>
      <w:r>
        <w:t>Sample Presenter Script</w:t>
      </w:r>
    </w:p>
    <w:p>
      <w:pPr>
        <w:spacing w:before="0" w:after="80" w:line="276" w:lineRule="auto"/>
      </w:pPr>
      <w:r>
        <w:rPr>
          <w:rFonts w:ascii="Calibri" w:hAnsi="Calibri" w:eastAsia="Calibri"/>
          <w:b w:val="0"/>
          <w:i w:val="0"/>
          <w:color w:val="16273D"/>
          <w:sz w:val="22"/>
        </w:rPr>
        <w:t>Pagdating naman sa budget request, ang portal ay hindi lang simpleng request form. Naka-structure ito para masigurong may malinaw na activity details, financial amount, at supporting document bago umabot sa admin evaluation.</w:t>
      </w:r>
    </w:p>
    <w:p>
      <w:pPr>
        <w:spacing w:before="0" w:after="80" w:line="276" w:lineRule="auto"/>
      </w:pPr>
      <w:r>
        <w:rPr>
          <w:rFonts w:ascii="Calibri" w:hAnsi="Calibri" w:eastAsia="Calibri"/>
          <w:b w:val="0"/>
          <w:i w:val="0"/>
          <w:color w:val="16273D"/>
          <w:sz w:val="22"/>
        </w:rPr>
        <w:t>Dito natin makikita na may lock conditions din ang system. Halimbawa, kapag approved na for face-to-face submission or budget release, hindi na puwedeng basta baguhin ng user ang record.</w:t>
      </w:r>
    </w:p>
    <w:p>
      <w:pPr>
        <w:spacing w:before="0" w:after="80" w:line="276" w:lineRule="auto"/>
      </w:pPr>
      <w:r>
        <w:rPr>
          <w:rFonts w:ascii="Calibri" w:hAnsi="Calibri" w:eastAsia="Calibri"/>
          <w:b w:val="0"/>
          <w:i w:val="0"/>
          <w:color w:val="16273D"/>
          <w:sz w:val="22"/>
        </w:rPr>
        <w:t>Sa side ng user, mahalagang makita ang transparency ng budget request history. Kapag may revision na hinihingi ang admin, kitang-kita rin ang remarks para alam ng organization kung ano ang dapat i-correct.</w:t>
      </w:r>
    </w:p>
    <w:p>
      <w:pPr>
        <w:spacing w:before="0" w:after="80" w:line="276" w:lineRule="auto"/>
      </w:pPr>
      <w:r>
        <w:rPr>
          <w:rFonts w:ascii="Calibri" w:hAnsi="Calibri" w:eastAsia="Calibri"/>
          <w:b w:val="0"/>
          <w:i w:val="0"/>
          <w:color w:val="16273D"/>
          <w:sz w:val="22"/>
        </w:rPr>
        <w:t>Ang strength ng flow na ito ay auditability. Hindi nawawala sa user ang context ng request, at hindi rin umaasa sa informal chat or manual reminder lang ang process.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Budget requests are structured and attachment-driven.</w:t>
      </w:r>
    </w:p>
    <w:p>
      <w:pPr>
        <w:pStyle w:val="ListBullet"/>
        <w:spacing w:before="0" w:after="40" w:line="276" w:lineRule="auto"/>
      </w:pPr>
      <w:r>
        <w:rPr>
          <w:rFonts w:ascii="Calibri" w:hAnsi="Calibri" w:eastAsia="Calibri"/>
          <w:b w:val="0"/>
          <w:i w:val="0"/>
          <w:color w:val="16273D"/>
          <w:sz w:val="22"/>
        </w:rPr>
        <w:t>May visible status history at admin remarks for revisions.</w:t>
      </w:r>
    </w:p>
    <w:p>
      <w:pPr>
        <w:pStyle w:val="ListBullet"/>
        <w:spacing w:before="0" w:after="40" w:line="276" w:lineRule="auto"/>
      </w:pPr>
      <w:r>
        <w:rPr>
          <w:rFonts w:ascii="Calibri" w:hAnsi="Calibri" w:eastAsia="Calibri"/>
          <w:b w:val="0"/>
          <w:i w:val="0"/>
          <w:color w:val="16273D"/>
          <w:sz w:val="22"/>
        </w:rPr>
        <w:t>May control gates para maiwasan ang unauthorized edits after approval milestones.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5. Liquidation Reporting</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post-activity accountability flow pagkatapos ma-release ang budget.</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Liquidation Reports section.</w:t>
      </w:r>
    </w:p>
    <w:p>
      <w:pPr>
        <w:pStyle w:val="ListNumber"/>
        <w:spacing w:before="0" w:after="40" w:line="276" w:lineRule="auto"/>
      </w:pPr>
      <w:r>
        <w:rPr>
          <w:rFonts w:ascii="Calibri" w:hAnsi="Calibri" w:eastAsia="Calibri"/>
          <w:b w:val="0"/>
          <w:i w:val="0"/>
          <w:color w:val="16273D"/>
          <w:sz w:val="22"/>
        </w:rPr>
        <w:t>I-explain na nagiging available lang ang liquidation kapag eligible na ang linked budget request, lalo na pagkatapos ng release status.</w:t>
      </w:r>
    </w:p>
    <w:p>
      <w:pPr>
        <w:pStyle w:val="ListNumber"/>
        <w:spacing w:before="0" w:after="40" w:line="276" w:lineRule="auto"/>
      </w:pPr>
      <w:r>
        <w:rPr>
          <w:rFonts w:ascii="Calibri" w:hAnsi="Calibri" w:eastAsia="Calibri"/>
          <w:b w:val="0"/>
          <w:i w:val="0"/>
          <w:color w:val="16273D"/>
          <w:sz w:val="22"/>
        </w:rPr>
        <w:t>Ipakita ang report form, attachments, at timeline-related statuses gaya ng submitted, under review, needs revision, hard copy submitted, completed liquidated, o overdue.</w:t>
      </w:r>
    </w:p>
    <w:p>
      <w:pPr>
        <w:pStyle w:val="ListNumber"/>
        <w:spacing w:before="0" w:after="40" w:line="276" w:lineRule="auto"/>
      </w:pPr>
      <w:r>
        <w:rPr>
          <w:rFonts w:ascii="Calibri" w:hAnsi="Calibri" w:eastAsia="Calibri"/>
          <w:b w:val="0"/>
          <w:i w:val="0"/>
          <w:color w:val="16273D"/>
          <w:sz w:val="22"/>
        </w:rPr>
        <w:t>Kung may sample record, buksan ang notes or remarks para maipakita ang admin feedback loop.</w:t>
      </w:r>
    </w:p>
    <w:p>
      <w:pPr>
        <w:pStyle w:val="Heading2"/>
      </w:pPr>
      <w:r>
        <w:t>Sample Presenter Script</w:t>
      </w:r>
    </w:p>
    <w:p>
      <w:pPr>
        <w:spacing w:before="0" w:after="80" w:line="276" w:lineRule="auto"/>
      </w:pPr>
      <w:r>
        <w:rPr>
          <w:rFonts w:ascii="Calibri" w:hAnsi="Calibri" w:eastAsia="Calibri"/>
          <w:b w:val="0"/>
          <w:i w:val="0"/>
          <w:color w:val="16273D"/>
          <w:sz w:val="22"/>
        </w:rPr>
        <w:t>Matapos ma-approve at ma-release ang budget, hindi doon nagtatapos ang workflow. May liquidation reporting module para sa post-activity accountability.</w:t>
      </w:r>
    </w:p>
    <w:p>
      <w:pPr>
        <w:spacing w:before="0" w:after="80" w:line="276" w:lineRule="auto"/>
      </w:pPr>
      <w:r>
        <w:rPr>
          <w:rFonts w:ascii="Calibri" w:hAnsi="Calibri" w:eastAsia="Calibri"/>
          <w:b w:val="0"/>
          <w:i w:val="0"/>
          <w:color w:val="16273D"/>
          <w:sz w:val="22"/>
        </w:rPr>
        <w:t>Mahalagang i-highlight na conditional ang access dito. Hindi lahat ng user puwedeng gumawa agad ng liquidation; available lang ito kapag ang budget request ay nasa tamang stage na.</w:t>
      </w:r>
    </w:p>
    <w:p>
      <w:pPr>
        <w:spacing w:before="0" w:after="80" w:line="276" w:lineRule="auto"/>
      </w:pPr>
      <w:r>
        <w:rPr>
          <w:rFonts w:ascii="Calibri" w:hAnsi="Calibri" w:eastAsia="Calibri"/>
          <w:b w:val="0"/>
          <w:i w:val="0"/>
          <w:color w:val="16273D"/>
          <w:sz w:val="22"/>
        </w:rPr>
        <w:t>Sa actual process, dito isi-submit ng organization ang liquidation details at files, at makikita rin nila kung tinanggap na ba ito, kailangan bang i-revise, o overdue na ang submission.</w:t>
      </w:r>
    </w:p>
    <w:p>
      <w:pPr>
        <w:spacing w:before="0" w:after="80" w:line="276" w:lineRule="auto"/>
      </w:pPr>
      <w:r>
        <w:rPr>
          <w:rFonts w:ascii="Calibri" w:hAnsi="Calibri" w:eastAsia="Calibri"/>
          <w:b w:val="0"/>
          <w:i w:val="0"/>
          <w:color w:val="16273D"/>
          <w:sz w:val="22"/>
        </w:rPr>
        <w:t>Sa panel presentation, magandang idiin na ang portal ay end-to-end. Hindi lang niya pinapadali ang paghingi ng pondo, kundi pati ang pag-close ng financial compliance cycle.</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Naka-link ang liquidation sa actual budget lifecycle.</w:t>
      </w:r>
    </w:p>
    <w:p>
      <w:pPr>
        <w:pStyle w:val="ListBullet"/>
        <w:spacing w:before="0" w:after="40" w:line="276" w:lineRule="auto"/>
      </w:pPr>
      <w:r>
        <w:rPr>
          <w:rFonts w:ascii="Calibri" w:hAnsi="Calibri" w:eastAsia="Calibri"/>
          <w:b w:val="0"/>
          <w:i w:val="0"/>
          <w:color w:val="16273D"/>
          <w:sz w:val="22"/>
        </w:rPr>
        <w:t>May accountability trail after activity implementation.</w:t>
      </w:r>
    </w:p>
    <w:p>
      <w:pPr>
        <w:pStyle w:val="ListBullet"/>
        <w:spacing w:before="0" w:after="40" w:line="276" w:lineRule="auto"/>
      </w:pPr>
      <w:r>
        <w:rPr>
          <w:rFonts w:ascii="Calibri" w:hAnsi="Calibri" w:eastAsia="Calibri"/>
          <w:b w:val="0"/>
          <w:i w:val="0"/>
          <w:color w:val="16273D"/>
          <w:sz w:val="22"/>
        </w:rPr>
        <w:t>Conditional ang access at malinaw ang completion or overdue states.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6. YPOP Incentive Submission</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Ipaliwanag ang semester-based incentive workflow at kung paano sinusukat ng system ang qualification.</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YPOP Incentive section.</w:t>
      </w:r>
    </w:p>
    <w:p>
      <w:pPr>
        <w:pStyle w:val="ListNumber"/>
        <w:spacing w:before="0" w:after="40" w:line="276" w:lineRule="auto"/>
      </w:pPr>
      <w:r>
        <w:rPr>
          <w:rFonts w:ascii="Calibri" w:hAnsi="Calibri" w:eastAsia="Calibri"/>
          <w:b w:val="0"/>
          <w:i w:val="0"/>
          <w:color w:val="16273D"/>
          <w:sz w:val="22"/>
        </w:rPr>
        <w:t>Ipakita ang current or past semester entries, including status, points earned, points required, at validation deadline.</w:t>
      </w:r>
    </w:p>
    <w:p>
      <w:pPr>
        <w:pStyle w:val="ListNumber"/>
        <w:spacing w:before="0" w:after="40" w:line="276" w:lineRule="auto"/>
      </w:pPr>
      <w:r>
        <w:rPr>
          <w:rFonts w:ascii="Calibri" w:hAnsi="Calibri" w:eastAsia="Calibri"/>
          <w:b w:val="0"/>
          <w:i w:val="0"/>
          <w:color w:val="16273D"/>
          <w:sz w:val="22"/>
        </w:rPr>
        <w:t>Kung may sample draft or qualified entry, ipakita ang city-led attendance, org-led project count, attached proof files, at admin remarks.</w:t>
      </w:r>
    </w:p>
    <w:p>
      <w:pPr>
        <w:pStyle w:val="ListNumber"/>
        <w:spacing w:before="0" w:after="40" w:line="276" w:lineRule="auto"/>
      </w:pPr>
      <w:r>
        <w:rPr>
          <w:rFonts w:ascii="Calibri" w:hAnsi="Calibri" w:eastAsia="Calibri"/>
          <w:b w:val="0"/>
          <w:i w:val="0"/>
          <w:color w:val="16273D"/>
          <w:sz w:val="22"/>
        </w:rPr>
        <w:t>I-explain na may relationship ang YPOP flow sa budget request kapag incentive-linked ang PPA.</w:t>
      </w:r>
    </w:p>
    <w:p>
      <w:pPr>
        <w:pStyle w:val="Heading2"/>
      </w:pPr>
      <w:r>
        <w:t>Sample Presenter Script</w:t>
      </w:r>
    </w:p>
    <w:p>
      <w:pPr>
        <w:spacing w:before="0" w:after="80" w:line="276" w:lineRule="auto"/>
      </w:pPr>
      <w:r>
        <w:rPr>
          <w:rFonts w:ascii="Calibri" w:hAnsi="Calibri" w:eastAsia="Calibri"/>
          <w:b w:val="0"/>
          <w:i w:val="0"/>
          <w:color w:val="16273D"/>
          <w:sz w:val="22"/>
        </w:rPr>
        <w:t>Ang YPOP Incentive module ay para sa organizations na gustong ma-track ang qualification nila based on participation and organization-led activities.</w:t>
      </w:r>
    </w:p>
    <w:p>
      <w:pPr>
        <w:spacing w:before="0" w:after="80" w:line="276" w:lineRule="auto"/>
      </w:pPr>
      <w:r>
        <w:rPr>
          <w:rFonts w:ascii="Calibri" w:hAnsi="Calibri" w:eastAsia="Calibri"/>
          <w:b w:val="0"/>
          <w:i w:val="0"/>
          <w:color w:val="16273D"/>
          <w:sz w:val="22"/>
        </w:rPr>
        <w:t>Makikita rito na hindi lang basta upload ng proof ang system. Naka-structure ang scoring logic batay sa city-led attendance, organization-led projects, at required points per semester.</w:t>
      </w:r>
    </w:p>
    <w:p>
      <w:pPr>
        <w:spacing w:before="0" w:after="80" w:line="276" w:lineRule="auto"/>
      </w:pPr>
      <w:r>
        <w:rPr>
          <w:rFonts w:ascii="Calibri" w:hAnsi="Calibri" w:eastAsia="Calibri"/>
          <w:b w:val="0"/>
          <w:i w:val="0"/>
          <w:color w:val="16273D"/>
          <w:sz w:val="22"/>
        </w:rPr>
        <w:t>Kapag na-validate ng admin, malinaw kung qualified o not qualified ang organization, at may remarks din kung kailangan ng revision o dagdag na ebidensya.</w:t>
      </w:r>
    </w:p>
    <w:p>
      <w:pPr>
        <w:spacing w:before="0" w:after="80" w:line="276" w:lineRule="auto"/>
      </w:pPr>
      <w:r>
        <w:rPr>
          <w:rFonts w:ascii="Calibri" w:hAnsi="Calibri" w:eastAsia="Calibri"/>
          <w:b w:val="0"/>
          <w:i w:val="0"/>
          <w:color w:val="16273D"/>
          <w:sz w:val="22"/>
        </w:rPr>
        <w:t>Magandang banggitin din na sa current workflow, may connection ang YPOP record sa budget request kapag incentive-based ang request type. Ibig sabihin, integrated ang grants and compliance logic ng portal.</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Semester-based at criteria-driven ang YPOP validation flow.</w:t>
      </w:r>
    </w:p>
    <w:p>
      <w:pPr>
        <w:pStyle w:val="ListBullet"/>
        <w:spacing w:before="0" w:after="40" w:line="276" w:lineRule="auto"/>
      </w:pPr>
      <w:r>
        <w:rPr>
          <w:rFonts w:ascii="Calibri" w:hAnsi="Calibri" w:eastAsia="Calibri"/>
          <w:b w:val="0"/>
          <w:i w:val="0"/>
          <w:color w:val="16273D"/>
          <w:sz w:val="22"/>
        </w:rPr>
        <w:t>Readable sa user ang points, deadlines, status, at admin remarks.</w:t>
      </w:r>
    </w:p>
    <w:p>
      <w:pPr>
        <w:pStyle w:val="ListBullet"/>
        <w:spacing w:before="0" w:after="40" w:line="276" w:lineRule="auto"/>
      </w:pPr>
      <w:r>
        <w:rPr>
          <w:rFonts w:ascii="Calibri" w:hAnsi="Calibri" w:eastAsia="Calibri"/>
          <w:b w:val="0"/>
          <w:i w:val="0"/>
          <w:color w:val="16273D"/>
          <w:sz w:val="22"/>
        </w:rPr>
        <w:t>Integrated ang incentive workflow sa broader funding and compliance process.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7. News Releases and Updates</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na may information channel din ang portal para sa latest updates at official announcements.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News Releases section.</w:t>
      </w:r>
    </w:p>
    <w:p>
      <w:pPr>
        <w:pStyle w:val="ListNumber"/>
        <w:spacing w:before="0" w:after="40" w:line="276" w:lineRule="auto"/>
      </w:pPr>
      <w:r>
        <w:rPr>
          <w:rFonts w:ascii="Calibri" w:hAnsi="Calibri" w:eastAsia="Calibri"/>
          <w:b w:val="0"/>
          <w:i w:val="0"/>
          <w:color w:val="16273D"/>
          <w:sz w:val="22"/>
        </w:rPr>
        <w:t>Ipakita ang listahan ng published announcements at kung paano ito nababasa ng user sa portal.</w:t>
      </w:r>
    </w:p>
    <w:p>
      <w:pPr>
        <w:pStyle w:val="ListNumber"/>
        <w:spacing w:before="0" w:after="40" w:line="276" w:lineRule="auto"/>
      </w:pPr>
      <w:r>
        <w:rPr>
          <w:rFonts w:ascii="Calibri" w:hAnsi="Calibri" w:eastAsia="Calibri"/>
          <w:b w:val="0"/>
          <w:i w:val="0"/>
          <w:color w:val="16273D"/>
          <w:sz w:val="22"/>
        </w:rPr>
        <w:t>I-mention na ang content na ito ay admin-managed kaya controlled ang official communication.</w:t>
      </w:r>
    </w:p>
    <w:p>
      <w:pPr>
        <w:pStyle w:val="Heading2"/>
      </w:pPr>
      <w:r>
        <w:t>Sample Presenter Script</w:t>
      </w:r>
    </w:p>
    <w:p>
      <w:pPr>
        <w:spacing w:before="0" w:after="80" w:line="276" w:lineRule="auto"/>
      </w:pPr>
      <w:r>
        <w:rPr>
          <w:rFonts w:ascii="Calibri" w:hAnsi="Calibri" w:eastAsia="Calibri"/>
          <w:b w:val="0"/>
          <w:i w:val="0"/>
          <w:color w:val="16273D"/>
          <w:sz w:val="22"/>
        </w:rPr>
        <w:t>Bukod sa transactional modules, may News Releases section din ang user portal para hindi hiwa-hiwalay ang communication ng LYDO sa organizations.</w:t>
      </w:r>
    </w:p>
    <w:p>
      <w:pPr>
        <w:spacing w:before="0" w:after="80" w:line="276" w:lineRule="auto"/>
      </w:pPr>
      <w:r>
        <w:rPr>
          <w:rFonts w:ascii="Calibri" w:hAnsi="Calibri" w:eastAsia="Calibri"/>
          <w:b w:val="0"/>
          <w:i w:val="0"/>
          <w:color w:val="16273D"/>
          <w:sz w:val="22"/>
        </w:rPr>
        <w:t>Sa halip na umasa sa external channels lang, may official update area mismo sa system kung saan makikita ng users ang latest announcements, reminders, at release information.</w:t>
      </w:r>
    </w:p>
    <w:p>
      <w:pPr>
        <w:spacing w:before="0" w:after="80" w:line="276" w:lineRule="auto"/>
      </w:pPr>
      <w:r>
        <w:rPr>
          <w:rFonts w:ascii="Calibri" w:hAnsi="Calibri" w:eastAsia="Calibri"/>
          <w:b w:val="0"/>
          <w:i w:val="0"/>
          <w:color w:val="16273D"/>
          <w:sz w:val="22"/>
        </w:rPr>
        <w:t>Mahalaga ito sa user experience dahil pinagsasama nito ang action workflow at information updates sa isang platform.</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Built-in official communication channel ang portal.</w:t>
      </w:r>
    </w:p>
    <w:p>
      <w:pPr>
        <w:pStyle w:val="ListBullet"/>
        <w:spacing w:before="0" w:after="40" w:line="276" w:lineRule="auto"/>
      </w:pPr>
      <w:r>
        <w:rPr>
          <w:rFonts w:ascii="Calibri" w:hAnsi="Calibri" w:eastAsia="Calibri"/>
          <w:b w:val="0"/>
          <w:i w:val="0"/>
          <w:color w:val="16273D"/>
          <w:sz w:val="22"/>
        </w:rPr>
        <w:t>Admin-managed ang updates kaya mas reliable at consistent ang announcements.</w:t>
      </w:r>
    </w:p>
    <w:p>
      <w:pPr>
        <w:pStyle w:val="ListBullet"/>
        <w:spacing w:before="0" w:after="40" w:line="276" w:lineRule="auto"/>
      </w:pPr>
      <w:r>
        <w:rPr>
          <w:rFonts w:ascii="Calibri" w:hAnsi="Calibri" w:eastAsia="Calibri"/>
          <w:b w:val="0"/>
          <w:i w:val="0"/>
          <w:color w:val="16273D"/>
          <w:sz w:val="22"/>
        </w:rPr>
        <w:t>Mas less fragmented ang user experience dahil hindi na kailangang lumabas pa ng system para sa core updates.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8. Notifications and User Awareness</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Tapusin ang walkthrough sa pagpapakita ng reminders at status awareness features na tumutulong sa user na hindi makaligtaan ang important actions.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Notifications section o notification indicators kung visible sa current layout.</w:t>
      </w:r>
    </w:p>
    <w:p>
      <w:pPr>
        <w:pStyle w:val="ListNumber"/>
        <w:spacing w:before="0" w:after="40" w:line="276" w:lineRule="auto"/>
      </w:pPr>
      <w:r>
        <w:rPr>
          <w:rFonts w:ascii="Calibri" w:hAnsi="Calibri" w:eastAsia="Calibri"/>
          <w:b w:val="0"/>
          <w:i w:val="0"/>
          <w:color w:val="16273D"/>
          <w:sz w:val="22"/>
        </w:rPr>
        <w:t>Ipakita ang examples ng alerts gaya ng profile reminder, document review status, released budget, o overdue liquidation.</w:t>
      </w:r>
    </w:p>
    <w:p>
      <w:pPr>
        <w:pStyle w:val="ListNumber"/>
        <w:spacing w:before="0" w:after="40" w:line="276" w:lineRule="auto"/>
      </w:pPr>
      <w:r>
        <w:rPr>
          <w:rFonts w:ascii="Calibri" w:hAnsi="Calibri" w:eastAsia="Calibri"/>
          <w:b w:val="0"/>
          <w:i w:val="0"/>
          <w:color w:val="16273D"/>
          <w:sz w:val="22"/>
        </w:rPr>
        <w:t>I-demo ang read and unread behavior kung available sa sample data.</w:t>
      </w:r>
    </w:p>
    <w:p>
      <w:pPr>
        <w:pStyle w:val="Heading2"/>
      </w:pPr>
      <w:r>
        <w:t>Sample Presenter Script</w:t>
      </w:r>
    </w:p>
    <w:p>
      <w:pPr>
        <w:spacing w:before="0" w:after="80" w:line="276" w:lineRule="auto"/>
      </w:pPr>
      <w:r>
        <w:rPr>
          <w:rFonts w:ascii="Calibri" w:hAnsi="Calibri" w:eastAsia="Calibri"/>
          <w:b w:val="0"/>
          <w:i w:val="0"/>
          <w:color w:val="16273D"/>
          <w:sz w:val="22"/>
        </w:rPr>
        <w:t>Ang notifications ang nagsisilbing follow-through mechanism ng portal. Kahit hindi araw-araw magbukas ang user ng bawat module, may reminders pa rin siya sa important updates at pending actions.</w:t>
      </w:r>
    </w:p>
    <w:p>
      <w:pPr>
        <w:spacing w:before="0" w:after="80" w:line="276" w:lineRule="auto"/>
      </w:pPr>
      <w:r>
        <w:rPr>
          <w:rFonts w:ascii="Calibri" w:hAnsi="Calibri" w:eastAsia="Calibri"/>
          <w:b w:val="0"/>
          <w:i w:val="0"/>
          <w:color w:val="16273D"/>
          <w:sz w:val="22"/>
        </w:rPr>
        <w:t>Makakatulong ito lalo na sa compliance-heavy workflows dahil napapaalalahanan ang organization kung may pending review, released budget, o overdue liquidation na kailangang aksyunan.</w:t>
      </w:r>
    </w:p>
    <w:p>
      <w:pPr>
        <w:spacing w:before="0" w:after="80" w:line="276" w:lineRule="auto"/>
      </w:pPr>
      <w:r>
        <w:rPr>
          <w:rFonts w:ascii="Calibri" w:hAnsi="Calibri" w:eastAsia="Calibri"/>
          <w:b w:val="0"/>
          <w:i w:val="0"/>
          <w:color w:val="16273D"/>
          <w:sz w:val="22"/>
        </w:rPr>
        <w:t>Sa demo, magandang i-emphasize na ang system ay proactive, hindi lang reactive. Hindi lang ito naghihintay na hanapin ng user ang status; ipinapakita rin nito ang status changes sa tamang oras.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Notifications improve follow-through and reduce missed steps.</w:t>
      </w:r>
    </w:p>
    <w:p>
      <w:pPr>
        <w:pStyle w:val="ListBullet"/>
        <w:spacing w:before="0" w:after="40" w:line="276" w:lineRule="auto"/>
      </w:pPr>
      <w:r>
        <w:rPr>
          <w:rFonts w:ascii="Calibri" w:hAnsi="Calibri" w:eastAsia="Calibri"/>
          <w:b w:val="0"/>
          <w:i w:val="0"/>
          <w:color w:val="16273D"/>
          <w:sz w:val="22"/>
        </w:rPr>
        <w:t>Useful ito sa multi-stage workflows tulad ng documents, budget, at liquidation.</w:t>
      </w:r>
    </w:p>
    <w:p>
      <w:pPr>
        <w:pStyle w:val="ListBullet"/>
        <w:spacing w:before="0" w:after="40" w:line="276" w:lineRule="auto"/>
      </w:pPr>
      <w:r>
        <w:rPr>
          <w:rFonts w:ascii="Calibri" w:hAnsi="Calibri" w:eastAsia="Calibri"/>
          <w:b w:val="0"/>
          <w:i w:val="0"/>
          <w:color w:val="16273D"/>
          <w:sz w:val="22"/>
        </w:rPr>
        <w:t>Pinapalakas nito ang usability ng portal through timely reminders.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Closing Script</w:t>
      </w:r>
    </w:p>
    <w:p>
      <w:pPr>
        <w:spacing w:before="0" w:after="80" w:line="276" w:lineRule="auto"/>
      </w:pPr>
      <w:r>
        <w:rPr>
          <w:rFonts w:ascii="Calibri" w:hAnsi="Calibri" w:eastAsia="Calibri"/>
          <w:b w:val="0"/>
          <w:i w:val="0"/>
          <w:color w:val="16273D"/>
          <w:sz w:val="22"/>
        </w:rPr>
        <w:t>Dito po nagtatapos ang user side demo ng LYDO Connect.</w:t>
      </w:r>
    </w:p>
    <w:p>
      <w:pPr>
        <w:spacing w:before="0" w:after="80" w:line="276" w:lineRule="auto"/>
      </w:pPr>
      <w:r>
        <w:rPr>
          <w:rFonts w:ascii="Calibri" w:hAnsi="Calibri" w:eastAsia="Calibri"/>
          <w:b w:val="0"/>
          <w:i w:val="0"/>
          <w:color w:val="16273D"/>
          <w:sz w:val="22"/>
        </w:rPr>
        <w:t>Sa kabuuan, makikita natin na ang user portal ay hindi lang simpleng online form repository. Isa itong guided system na tumutulong sa organizations mula profile setup, document compliance, funding request, liquidation, hanggang incentive qualification at official updates.</w:t>
      </w:r>
    </w:p>
    <w:p>
      <w:pPr>
        <w:spacing w:before="0" w:after="80" w:line="276" w:lineRule="auto"/>
      </w:pPr>
      <w:r>
        <w:rPr>
          <w:rFonts w:ascii="Calibri" w:hAnsi="Calibri" w:eastAsia="Calibri"/>
          <w:b w:val="0"/>
          <w:i w:val="0"/>
          <w:color w:val="16273D"/>
          <w:sz w:val="22"/>
        </w:rPr>
        <w:t>Ang pinakamahalagang value ng user side ay clarity. Bawat step ay may malinaw na status, may visible feedback, at may structured flow kaya mas madali para sa user na maintindihan kung ano ang susunod nilang gagawin.</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627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