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Times New Roman" w:hAnsi="Times New Roman"/>
          <w:b/>
          <w:i w:val="0"/>
          <w:color w:val="0F172A"/>
          <w:sz w:val="24"/>
        </w:rPr>
        <w:t>POLYTECHNIC UNIVERSITY OF THE PHILIPPINES</w:t>
      </w:r>
    </w:p>
    <w:p>
      <w:pPr>
        <w:spacing w:before="0" w:after="20" w:line="276" w:lineRule="auto"/>
        <w:jc w:val="center"/>
      </w:pPr>
      <w:r>
        <w:rPr>
          <w:rFonts w:ascii="Times New Roman" w:hAnsi="Times New Roman"/>
          <w:b/>
          <w:i w:val="0"/>
          <w:color w:val="0F172A"/>
          <w:sz w:val="22"/>
        </w:rPr>
        <w:t>COLLEGE OF COMPUTER AND INFORMATION SCIENCES</w:t>
      </w:r>
    </w:p>
    <w:p>
      <w:pPr>
        <w:spacing w:before="0" w:after="200" w:line="276" w:lineRule="auto"/>
        <w:jc w:val="center"/>
      </w:pPr>
      <w:r>
        <w:rPr>
          <w:rFonts w:ascii="Times New Roman" w:hAnsi="Times New Roman"/>
          <w:b w:val="0"/>
          <w:i w:val="0"/>
          <w:color w:val="0F172A"/>
          <w:sz w:val="20"/>
        </w:rPr>
        <w:t>DEPARTMENT OF INFORMATION TECHNOLOGY</w:t>
      </w:r>
    </w:p>
    <w:p>
      <w:pPr>
        <w:spacing w:before="80" w:after="60" w:line="276" w:lineRule="auto"/>
        <w:jc w:val="center"/>
      </w:pPr>
      <w:r>
        <w:rPr>
          <w:rFonts w:ascii="Times New Roman" w:hAnsi="Times New Roman"/>
          <w:b/>
          <w:i w:val="0"/>
          <w:color w:val="285587"/>
          <w:sz w:val="29"/>
        </w:rPr>
        <w:t>Y-TRACE: YOUTH ORGANIZATION REGISTRATION, COMPLIANCE, AND BUDGET MONITORING SYSTEM FOR LOCAL YOUTH DEVELOPMENT OFFICES</w:t>
      </w:r>
    </w:p>
    <w:p>
      <w:pPr>
        <w:spacing w:before="40" w:after="40" w:line="276" w:lineRule="auto"/>
        <w:jc w:val="center"/>
      </w:pPr>
      <w:r>
        <w:rPr>
          <w:rFonts w:ascii="Times New Roman" w:hAnsi="Times New Roman"/>
          <w:b/>
          <w:i w:val="0"/>
          <w:color w:val="0F172A"/>
          <w:sz w:val="24"/>
        </w:rPr>
        <w:t>CHAPTER 3: DESIGN SPECIFICATIONS — DATABASE SCHEMA SPECIFICATIONS</w:t>
      </w:r>
    </w:p>
    <w:p>
      <w:pPr>
        <w:spacing w:before="0" w:after="160" w:line="276" w:lineRule="auto"/>
        <w:jc w:val="center"/>
      </w:pPr>
      <w:r>
        <w:rPr>
          <w:rFonts w:ascii="Times New Roman" w:hAnsi="Times New Roman"/>
          <w:b w:val="0"/>
          <w:i/>
          <w:color w:val="475569"/>
          <w:sz w:val="20"/>
        </w:rPr>
        <w:t>Process-Based Entity Relationship Diagrams (ERDs), Relational Architecture, and Complete Coverage Audit</w:t>
      </w:r>
    </w:p>
    <w:tbl>
      <w:tblPr>
        <w:tblW w:type="auto" w:w="0"/>
        <w:jc w:val="center"/>
        <w:tblLook w:firstColumn="1" w:firstRow="1" w:lastColumn="0" w:lastRow="0" w:noHBand="0" w:noVBand="1" w:val="04A0"/>
      </w:tblPr>
      <w:tblGrid>
        <w:gridCol w:w="3528"/>
        <w:gridCol w:w="3528"/>
        <w:gridCol w:w="3528"/>
        <w:gridCol w:w="3528"/>
      </w:tblGrid>
      <w:tr>
        <w:trPr>
          <w:cantSplit/>
        </w:trPr>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Authoritative Source: </w:t>
            </w:r>
            <w:r>
              <w:rPr>
                <w:rFonts w:ascii="Times New Roman" w:hAnsi="Times New Roman"/>
                <w:sz w:val="17"/>
              </w:rPr>
              <w:t>Supabase Audit (Sep 15, 2026)</w:t>
            </w:r>
          </w:p>
        </w:tc>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Target Platform: </w:t>
            </w:r>
            <w:r>
              <w:rPr>
                <w:rFonts w:ascii="Times New Roman" w:hAnsi="Times New Roman"/>
                <w:sz w:val="17"/>
              </w:rPr>
              <w:t>PostgreSQL 15 / Supabase Cloud</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Application Tables: </w:t>
            </w:r>
            <w:r>
              <w:rPr>
                <w:rFonts w:ascii="Times New Roman" w:hAnsi="Times New Roman"/>
                <w:sz w:val="17"/>
              </w:rPr>
              <w:t>42 of 42 Documented (100%)</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Foreign Key Constraints: </w:t>
            </w:r>
            <w:r>
              <w:rPr>
                <w:rFonts w:ascii="Times New Roman" w:hAnsi="Times New Roman"/>
                <w:sz w:val="17"/>
              </w:rPr>
              <w:t>65 of 65 Documented (100%)</w:t>
            </w:r>
          </w:p>
        </w:tc>
      </w:tr>
    </w:tbl>
    <w:p>
      <w:pPr>
        <w:spacing w:after="80"/>
      </w:pPr>
    </w:p>
    <w:p>
      <w:pPr>
        <w:spacing w:before="240" w:after="80" w:line="276" w:lineRule="auto"/>
        <w:jc w:val="left"/>
      </w:pPr>
      <w:r>
        <w:rPr>
          <w:rFonts w:ascii="Times New Roman" w:hAnsi="Times New Roman"/>
          <w:b/>
          <w:i w:val="0"/>
          <w:color w:val="285587"/>
          <w:sz w:val="26"/>
        </w:rPr>
        <w:t>1. Database Architecture &amp; Schema Decomposition Rationale</w:t>
      </w:r>
    </w:p>
    <w:p>
      <w:pPr>
        <w:spacing w:before="40" w:after="80" w:line="276" w:lineRule="auto"/>
        <w:jc w:val="left"/>
      </w:pPr>
      <w:r>
        <w:rPr>
          <w:rFonts w:ascii="Times New Roman" w:hAnsi="Times New Roman"/>
          <w:b w:val="0"/>
          <w:i w:val="0"/>
          <w:color w:val="0F172A"/>
          <w:sz w:val="20"/>
        </w:rPr>
        <w:t>The database architecture of Y-TRACE is built on PostgreSQL 15, hosted and managed via the Supabase cloud platform. To support the multifaceted administrative and regulatory mandates of the Pasig City Local Youth Development Office (PCYDO) — pursuant to the Pasig City Youth Development Code (Ordinance No. 50, Series of 2024) and the Sangguniang Kabataan Reform Act (Republic Act No. 10742 as amended by Republic Act No. 11768) — the database implements a rigorous relational structure comprising forty-two (42) public application tables, 476 typed columns, sixty-five (65) explicit foreign key constraints, twenty-three (23) unique constraints, sixty (60) performance indexes, thirty (30) database automation triggers, 120 stored functions/RPCs, fifty-eight (58) Row-Level Security (RLS) policies, and nine (9) dedicated Supabase Storage buckets.</w:t>
      </w:r>
    </w:p>
    <w:p>
      <w:pPr>
        <w:spacing w:before="40" w:after="80" w:line="276" w:lineRule="auto"/>
        <w:jc w:val="left"/>
      </w:pPr>
      <w:r>
        <w:rPr>
          <w:rFonts w:ascii="Times New Roman" w:hAnsi="Times New Roman"/>
          <w:b w:val="0"/>
          <w:i w:val="0"/>
          <w:color w:val="0F172A"/>
          <w:sz w:val="20"/>
        </w:rPr>
        <w:t>In software engineering and database design specifications for enterprise and municipal management information systems, presenting forty-two tables within a single monolithic Entity Relationship Diagram creates severe visual overcrowding, connector routing collisions, and diminished readability. Such unsegmented diagrams obscure the distinct operational lifecycles of the application and impede clear relational analysis. Consequently, the Y-TRACE database schema is systematically partitioned into eight (8) cohesive, process-oriented Entity Relationship Diagrams (Figures 8.1 through 8.8). Each diagram directly corresponds to a core business process identified in the system's Data Flow Diagrams (DFDs) and functional requirements specification, while preserving complete relational integrity across the entire schema.</w:t>
      </w:r>
    </w:p>
    <w:p>
      <w:pPr>
        <w:spacing w:before="40" w:after="80" w:line="276" w:lineRule="auto"/>
        <w:jc w:val="left"/>
      </w:pPr>
      <w:r>
        <w:rPr>
          <w:rFonts w:ascii="Times New Roman" w:hAnsi="Times New Roman"/>
          <w:b w:val="0"/>
          <w:i w:val="0"/>
          <w:color w:val="0F172A"/>
          <w:sz w:val="20"/>
        </w:rPr>
        <w:t>The eight process-based ERD figures encompass every single application table without exception. Standby, reference, and legacy entities — such as organizations, events, programs, and transparency_posts — are transparently integrated and identified with appropriate structural notations, ensuring that the documentation reflects 100% of the active database without silent omission. Tables that participate across multiple distinct workflows (most notably organization_profiles, auth.users, and admin_accounts) are modeled as primary focal entities in their primary operational module and represented as formal [Reference Entities] in dependent diagrams, maintaining consistent table definitions and precise cardinality without redundancy.</w:t>
      </w:r>
    </w:p>
    <w:p>
      <w:pPr>
        <w:spacing w:before="160" w:after="60" w:line="276" w:lineRule="auto"/>
        <w:jc w:val="left"/>
      </w:pPr>
      <w:r>
        <w:rPr>
          <w:rFonts w:ascii="Times New Roman" w:hAnsi="Times New Roman"/>
          <w:b/>
          <w:i w:val="0"/>
          <w:color w:val="1E293B"/>
          <w:sz w:val="23"/>
        </w:rPr>
        <w:t>1.1. Diagrammatic Conventions and Relational Legend</w:t>
      </w:r>
    </w:p>
    <w:p>
      <w:pPr>
        <w:spacing w:before="40" w:after="80" w:line="276" w:lineRule="auto"/>
        <w:jc w:val="left"/>
      </w:pPr>
      <w:r>
        <w:rPr>
          <w:rFonts w:ascii="Times New Roman" w:hAnsi="Times New Roman"/>
          <w:b w:val="0"/>
          <w:i w:val="0"/>
          <w:color w:val="0F172A"/>
          <w:sz w:val="20"/>
        </w:rPr>
        <w:t>The Entity Relationship Diagrams conform to the visual style established in the capstone manuscript, featuring white canvas backgrounds, clean orthogonal connectors, and distinct header banners distinguishing functional roles. Data types reflect the audited PostgreSQL types (e.g., uuid, citext, timestamptz, jsonb, numeric(12,2)). The architectural conventions and relationship symbols are summarized in Table 8.0.</w:t>
      </w:r>
    </w:p>
    <w:tbl>
      <w:tblPr>
        <w:tblW w:type="auto" w:w="0"/>
        <w:jc w:val="center"/>
        <w:tblLook w:firstColumn="1" w:firstRow="1" w:lastColumn="0" w:lastRow="0" w:noHBand="0" w:noVBand="1" w:val="04A0"/>
      </w:tblPr>
      <w:tblGrid>
        <w:gridCol w:w="4704"/>
        <w:gridCol w:w="4704"/>
        <w:gridCol w:w="4704"/>
      </w:tblGrid>
      <w:tr>
        <w:trPr>
          <w:tblHeader/>
          <w:cantSplit/>
        </w:trPr>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Visual Element</w:t>
            </w:r>
          </w:p>
        </w:tc>
        <w:tc>
          <w:tcPr>
            <w:tcW w:type="dxa" w:w="360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Classification</w:t>
            </w:r>
          </w:p>
        </w:tc>
        <w:tc>
          <w:tcPr>
            <w:tcW w:type="dxa" w:w="76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Architectural &amp; Relational Meaning</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Blue Box (#285587)</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Core Application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Active production application table created in public schema, owning data records and direct process workflow fields.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Slate Blue Box (#476b94)</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Shared / Reference Entity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External or cross-process table (e.g., auth.users, organization_profiles) providing parental foreign key references to child entities.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Brown Box (#8c524b)</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Schema Standby / Legacy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Schema table maintained for structural compatibility, future planned modules, or legacy fallback (e.g., organizations, events, move_applications).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Line + Circle Connector</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Explicit Database Foreign Key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Physical PostgreSQL FOREIGN KEY constraint enforced by the database engine (Referenced PK has filled circle, Child FK has hollow circle).</w:t>
            </w:r>
          </w:p>
        </w:tc>
      </w:tr>
    </w:tbl>
    <w:p>
      <w:pPr>
        <w:spacing w:before="40" w:after="200" w:line="276" w:lineRule="auto"/>
        <w:jc w:val="center"/>
      </w:pPr>
      <w:r>
        <w:rPr>
          <w:rFonts w:ascii="Times New Roman" w:hAnsi="Times New Roman"/>
          <w:b w:val="0"/>
          <w:i/>
          <w:color w:val="0F172A"/>
          <w:sz w:val="17"/>
        </w:rPr>
        <w:t>Table 8.0. Database Schema Entity and Connector Legend</w:t>
      </w:r>
    </w:p>
    <w:p>
      <w:r>
        <w:br w:type="page"/>
      </w:r>
    </w:p>
    <w:p>
      <w:pPr>
        <w:spacing w:before="240" w:after="80" w:line="276" w:lineRule="auto"/>
        <w:jc w:val="left"/>
      </w:pPr>
      <w:r>
        <w:rPr>
          <w:rFonts w:ascii="Times New Roman" w:hAnsi="Times New Roman"/>
          <w:b/>
          <w:i w:val="0"/>
          <w:color w:val="285587"/>
          <w:sz w:val="26"/>
        </w:rPr>
        <w:t>2.1. Process 7: Manage Administration, Monitoring, and Reporting (Identity &amp; Policy Subsystem)</w:t>
      </w:r>
    </w:p>
    <w:p>
      <w:pPr>
        <w:spacing w:before="40" w:after="120"/>
        <w:jc w:val="center"/>
      </w:pPr>
      <w:r>
        <w:drawing>
          <wp:inline xmlns:a="http://schemas.openxmlformats.org/drawingml/2006/main" xmlns:pic="http://schemas.openxmlformats.org/drawingml/2006/picture">
            <wp:extent cx="8412480" cy="5742337"/>
            <wp:docPr id="1" name="Picture 1"/>
            <wp:cNvGraphicFramePr>
              <a:graphicFrameLocks noChangeAspect="1"/>
            </wp:cNvGraphicFramePr>
            <a:graphic>
              <a:graphicData uri="http://schemas.openxmlformats.org/drawingml/2006/picture">
                <pic:pic>
                  <pic:nvPicPr>
                    <pic:cNvPr id="0" name="Figure_8_1_Authentication_and_Access.png"/>
                    <pic:cNvPicPr/>
                  </pic:nvPicPr>
                  <pic:blipFill>
                    <a:blip r:embed="rId9"/>
                    <a:stretch>
                      <a:fillRect/>
                    </a:stretch>
                  </pic:blipFill>
                  <pic:spPr>
                    <a:xfrm>
                      <a:off x="0" y="0"/>
                      <a:ext cx="8412480" cy="5742337"/>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8.1</w:t>
      </w:r>
    </w:p>
    <w:p>
      <w:pPr>
        <w:spacing w:before="40" w:after="80" w:line="276" w:lineRule="auto"/>
        <w:jc w:val="left"/>
      </w:pPr>
      <w:r>
        <w:rPr>
          <w:rFonts w:ascii="Times New Roman" w:hAnsi="Times New Roman"/>
          <w:b w:val="0"/>
          <w:i w:val="0"/>
          <w:color w:val="0F172A"/>
          <w:sz w:val="19"/>
        </w:rPr>
        <w:t>Figure 8.1 delineates the dual-tier identity, authentication, role-based access control (RBAC), and policy governance architecture of Y-TRACE. To safeguard municipal operations and protect sensitive organizational records, the system implements a strict separation of user tiers. Youth organization representatives authenticate through the Supabase Authentication service (represented as the external parent entity auth.users), which maintains core email/password credentials and session states. Application-level user profile attributes (such as full name, contact number, municipality, and assigned barangay) are isolated in public.user_profiles, establishing a 1:1 foreign key binding to auth.users(id). User permissions and platform authorization are managed through public.roles and the associative table public.user_roles, linking authenticated identities to standardized role codes (admin, staff, youth_org, guest).</w:t>
      </w:r>
    </w:p>
    <w:p>
      <w:pPr>
        <w:spacing w:before="40" w:after="80" w:line="276" w:lineRule="auto"/>
        <w:jc w:val="left"/>
      </w:pPr>
      <w:r>
        <w:rPr>
          <w:rFonts w:ascii="Times New Roman" w:hAnsi="Times New Roman"/>
          <w:b w:val="0"/>
          <w:i w:val="0"/>
          <w:color w:val="0F172A"/>
          <w:sz w:val="19"/>
        </w:rPr>
        <w:t>Internal PCYDO administrative personnel access the administrative portal through an independent, secured credential repository, public.admin_accounts. This table maintains dedicated administrative usernames, Bcrypt password hashes, active flags, and explicit foreign key relationships to public.units (classifying administrative personnel into PCYDO functional divisions: Administration &amp; Finance, Programs &amp; Operations, Policy &amp; Planning) and public.roles. Active administrative sessions are tracked in public.admin_sessions using cryptographically hashed tokens, hard expiration timestamps, and revocation tracking to ensure strict session invalidation upon sign-out.</w:t>
      </w:r>
    </w:p>
    <w:p>
      <w:pPr>
        <w:spacing w:before="40" w:after="80" w:line="276" w:lineRule="auto"/>
        <w:jc w:val="left"/>
      </w:pPr>
      <w:r>
        <w:rPr>
          <w:rFonts w:ascii="Times New Roman" w:hAnsi="Times New Roman"/>
          <w:b w:val="0"/>
          <w:i w:val="0"/>
          <w:color w:val="0F172A"/>
          <w:sz w:val="19"/>
        </w:rPr>
        <w:t>Regulatory compliance and data privacy adherence under Republic Act No. 10173 are enforced via public.policy_versions and public.user_policy_acceptance. Before accessing protected portal features, authenticated organization representatives must accept the active Terms of Service and Privacy Policy. Each acceptance event is immutably recorded with policy version keys, IP hash, user agent string, and acceptance timestamps, creating an auditable legal compliance trail.</w:t>
      </w:r>
    </w:p>
    <w:p>
      <w:pPr>
        <w:spacing w:before="120" w:after="40" w:line="276" w:lineRule="auto"/>
        <w:jc w:val="left"/>
      </w:pPr>
      <w:r>
        <w:rPr>
          <w:rFonts w:ascii="Times New Roman" w:hAnsi="Times New Roman"/>
          <w:b/>
          <w:i/>
          <w:color w:val="334155"/>
          <w:sz w:val="20"/>
        </w:rPr>
        <w:t>Table Inventory for Figure 8.1</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units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Smallint lookup table defining PCYDO administrative units/divisions.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(smallint)</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System role master table defining authorization tiers and permissions array.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(smallint)</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4</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Dedicated credentials and profiles for internal PCYDO staff and administrators.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role_id -&gt; roles.id, unit_id -&gt; units.id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5</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admin_sessions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Server-side administrator session tokens, validity windows, and revocation flags.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admin_id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241</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Extended biographical and contact profile metadata for authenticated users.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user_id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avatars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20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Junction table mapping authenticated user identities to application 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(user_id, role_id)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role_id -&gt; roles.id, assigned_by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20</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policy_versions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Terms of Service and Privacy Policy markdown content and version history.</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acceptance records for active legal terms and privacy notices.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policy_version_id -&gt; policy_versions.id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9</w:t>
            </w:r>
          </w:p>
        </w:tc>
      </w:tr>
    </w:tbl>
    <w:p>
      <w:pPr>
        <w:spacing w:after="80"/>
      </w:pPr>
    </w:p>
    <w:p>
      <w:pPr>
        <w:spacing w:before="120" w:after="40" w:line="276" w:lineRule="auto"/>
        <w:jc w:val="left"/>
      </w:pPr>
      <w:r>
        <w:rPr>
          <w:rFonts w:ascii="Times New Roman" w:hAnsi="Times New Roman"/>
          <w:b/>
          <w:i/>
          <w:color w:val="334155"/>
          <w:sz w:val="20"/>
        </w:rPr>
        <w:t>Relationship Catalog for Figure 8.1</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admin_accounts.role_id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admin_accounts_role_id_fkey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NO ACTION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admin_accounts.unit_id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units.id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admin_accounts_unit_id_fkey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NO ACTION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admin_sessions.admin_id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admin_sessions_admin_id_fkey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user_profiles.user_id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user_profiles_user_id_fkey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One-to-One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user_roles.user_id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user_roles_user_id_fkey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user_roles.role_id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user_roles_role_id_fkey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user_roles.assigned_by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user_roles_assigned_by_fkey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user_policy_acceptance.user_id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user_policy_acceptance_user_id_fkey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user_policy_acceptance.policy_version_id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policy_versions.id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user_policy_acceptance_policy_version_id_fkey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2.2. Process 1: Manage Organization Registration and Renewal</w:t>
      </w:r>
    </w:p>
    <w:p>
      <w:pPr>
        <w:spacing w:before="40" w:after="120"/>
        <w:jc w:val="center"/>
      </w:pPr>
      <w:r>
        <w:drawing>
          <wp:inline xmlns:a="http://schemas.openxmlformats.org/drawingml/2006/main" xmlns:pic="http://schemas.openxmlformats.org/drawingml/2006/picture">
            <wp:extent cx="8412480" cy="6144388"/>
            <wp:docPr id="2" name="Picture 2"/>
            <wp:cNvGraphicFramePr>
              <a:graphicFrameLocks noChangeAspect="1"/>
            </wp:cNvGraphicFramePr>
            <a:graphic>
              <a:graphicData uri="http://schemas.openxmlformats.org/drawingml/2006/picture">
                <pic:pic>
                  <pic:nvPicPr>
                    <pic:cNvPr id="0" name="Figure_8_2_Organization_Registration_and_Accreditation.png"/>
                    <pic:cNvPicPr/>
                  </pic:nvPicPr>
                  <pic:blipFill>
                    <a:blip r:embed="rId10"/>
                    <a:stretch>
                      <a:fillRect/>
                    </a:stretch>
                  </pic:blipFill>
                  <pic:spPr>
                    <a:xfrm>
                      <a:off x="0" y="0"/>
                      <a:ext cx="8412480" cy="6144388"/>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8.2</w:t>
      </w:r>
    </w:p>
    <w:p>
      <w:pPr>
        <w:spacing w:before="40" w:after="80" w:line="276" w:lineRule="auto"/>
        <w:jc w:val="left"/>
      </w:pPr>
      <w:r>
        <w:rPr>
          <w:rFonts w:ascii="Times New Roman" w:hAnsi="Times New Roman"/>
          <w:b w:val="0"/>
          <w:i w:val="0"/>
          <w:color w:val="0F172A"/>
          <w:sz w:val="19"/>
        </w:rPr>
        <w:t>Figure 8.2 illustrates the core organizational lifecycle subsystem governing registration, verification, official accreditation, and Unique Registration Number (URN) administration. The foundational anchor of this subsystem is public.organization_profiles, which maintains the master municipal registry of all registered Youth Organizations (YOs) and Youth-Serving Organizations (YSOs) in Pasig City. Each profile is established by an authenticated user (auth.users.id) and records institutional classification (major classification, sub-classification, advocacies array), contact parameters, representative details, and geographical location within one of Pasig City's thirty barangays (referenced via public.barangays).</w:t>
      </w:r>
    </w:p>
    <w:p>
      <w:pPr>
        <w:spacing w:before="40" w:after="80" w:line="276" w:lineRule="auto"/>
        <w:jc w:val="left"/>
      </w:pPr>
      <w:r>
        <w:rPr>
          <w:rFonts w:ascii="Times New Roman" w:hAnsi="Times New Roman"/>
          <w:b w:val="0"/>
          <w:i w:val="0"/>
          <w:color w:val="0F172A"/>
          <w:sz w:val="19"/>
        </w:rPr>
        <w:t>Official municipal recognition is formalized through public.organization_accreditations. When PCYDO administrators approve an organization's qualifying credentials, an accreditation record is created containing the assigned accreditation number, validity dates, certificate issuance metadata, and the foreign key of the approving administrator (admin_accounts.id). The active accreditation is mirrored in organization_profiles via current_accreditation_id. To monitor multi-year institutional continuity, public.organization_renewals captures periodic renewal applications, document inspection outcomes, and administrative review decisions.</w:t>
      </w:r>
    </w:p>
    <w:p>
      <w:pPr>
        <w:spacing w:before="40" w:after="80" w:line="276" w:lineRule="auto"/>
        <w:jc w:val="left"/>
      </w:pPr>
      <w:r>
        <w:rPr>
          <w:rFonts w:ascii="Times New Roman" w:hAnsi="Times New Roman"/>
          <w:b w:val="0"/>
          <w:i w:val="0"/>
          <w:color w:val="0F172A"/>
          <w:sz w:val="19"/>
        </w:rPr>
        <w:t>The issuance and lifecycle of Unique Registration Numbers (URNs) — mandated under National Youth Commission (NYC) YORP guidelines — are tracked in public.urn_review_history, documenting the transition of URN states (pending, approved, flagged, expired) and retaining administrative remarks. Finally, public.organizations is maintained in the schema as a legacy standby table to support backwards compatibility with preliminary data migrations.</w:t>
      </w:r>
    </w:p>
    <w:p>
      <w:pPr>
        <w:spacing w:before="120" w:after="40" w:line="276" w:lineRule="auto"/>
        <w:jc w:val="left"/>
      </w:pPr>
      <w:r>
        <w:rPr>
          <w:rFonts w:ascii="Times New Roman" w:hAnsi="Times New Roman"/>
          <w:b/>
          <w:i/>
          <w:color w:val="334155"/>
          <w:sz w:val="20"/>
        </w:rPr>
        <w:t>Table Inventory for Figure 8.2</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profile and registry record for YORP-accredited youth 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current_accreditation_id -&gt; organization_accreditations.id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6</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Formal accreditation certificates, validity windows, and approval metadata.</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approved_by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5</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YORP renewal application records, review stages, and approval trails.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current_accreditation_id -&gt; organization_accreditations.id,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urn_review_history</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Historical audit trail of URN evaluations, status changes, and administrator remarks.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barangays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territorial registry of Pasig City barangays, coordinates, and demographic metrics.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organization repository retained for database migration compatibility.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bl>
    <w:p>
      <w:pPr>
        <w:spacing w:after="80"/>
      </w:pPr>
    </w:p>
    <w:p>
      <w:pPr>
        <w:spacing w:before="120" w:after="40" w:line="276" w:lineRule="auto"/>
        <w:jc w:val="left"/>
      </w:pPr>
      <w:r>
        <w:rPr>
          <w:rFonts w:ascii="Times New Roman" w:hAnsi="Times New Roman"/>
          <w:b/>
          <w:i/>
          <w:color w:val="334155"/>
          <w:sz w:val="20"/>
        </w:rPr>
        <w:t>Relationship Catalog for Figure 8.2</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organization_profiles.user_id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organization_profiles_user_id_fkey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One-to-One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organization_profiles.current_accreditation_id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organization_profiles_current_accreditation_id_fkey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organization_accreditations_organization_id_fkey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organization_accreditations.approved_by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organization_accreditations_approved_by_fkey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organization_renewals_organization_id_fkey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organization_renewals.current_accreditation_id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organization_renewals_current_accreditation_id_fkey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organization_renewals.reviewed_by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organization_renewals_reviewed_by_fkey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urn_review_history.organization_id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urn_review_history_organization_id_fkey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organizations.created_by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organizations_created_by_fkey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2.3. Process 2: Manage Compliance Submission and Monitoring</w:t>
      </w:r>
    </w:p>
    <w:p>
      <w:pPr>
        <w:spacing w:before="40" w:after="120"/>
        <w:jc w:val="center"/>
      </w:pPr>
      <w:r>
        <w:drawing>
          <wp:inline xmlns:a="http://schemas.openxmlformats.org/drawingml/2006/main" xmlns:pic="http://schemas.openxmlformats.org/drawingml/2006/picture">
            <wp:extent cx="8412480" cy="5742337"/>
            <wp:docPr id="3" name="Picture 3"/>
            <wp:cNvGraphicFramePr>
              <a:graphicFrameLocks noChangeAspect="1"/>
            </wp:cNvGraphicFramePr>
            <a:graphic>
              <a:graphicData uri="http://schemas.openxmlformats.org/drawingml/2006/picture">
                <pic:pic>
                  <pic:nvPicPr>
                    <pic:cNvPr id="0" name="Figure_8_3_Compliance_Documents_and_Reviews.png"/>
                    <pic:cNvPicPr/>
                  </pic:nvPicPr>
                  <pic:blipFill>
                    <a:blip r:embed="rId11"/>
                    <a:stretch>
                      <a:fillRect/>
                    </a:stretch>
                  </pic:blipFill>
                  <pic:spPr>
                    <a:xfrm>
                      <a:off x="0" y="0"/>
                      <a:ext cx="8412480" cy="5742337"/>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8.3</w:t>
      </w:r>
    </w:p>
    <w:p>
      <w:pPr>
        <w:spacing w:before="40" w:after="80" w:line="276" w:lineRule="auto"/>
        <w:jc w:val="left"/>
      </w:pPr>
      <w:r>
        <w:rPr>
          <w:rFonts w:ascii="Times New Roman" w:hAnsi="Times New Roman"/>
          <w:b w:val="0"/>
          <w:i w:val="0"/>
          <w:color w:val="0F172A"/>
          <w:sz w:val="19"/>
        </w:rPr>
        <w:t>Figure 8.3 models the documentary compliance, requirement cataloging, administrative verification, and revision workflow. To retain active municipal standing, registered youth organizations must submit mandated annual and periodic documentation. The regulatory requirements are cataloged in public.required_document_types, which defines requirement titles (e.g., Accomplishment Report, Financial Statement, Directory of Officers), descriptive instructions, required calendar year, display sort order, and download references to official blank templates hosted in Supabase Storage (template-files).</w:t>
      </w:r>
    </w:p>
    <w:p>
      <w:pPr>
        <w:spacing w:before="40" w:after="80" w:line="276" w:lineRule="auto"/>
        <w:jc w:val="left"/>
      </w:pPr>
      <w:r>
        <w:rPr>
          <w:rFonts w:ascii="Times New Roman" w:hAnsi="Times New Roman"/>
          <w:b w:val="0"/>
          <w:i w:val="0"/>
          <w:color w:val="0F172A"/>
          <w:sz w:val="19"/>
        </w:rPr>
        <w:t>An organization initiates a compliance submission cycle through public.document_submissions, which functions as the transactional batch header. This table binds the submission to organization_profiles(id), tracks submission timestamps, user confirmation flags, and overall review status (draft, submitted, under_review, approved, needs_revision, rejected). If the submission is part of an annual renewal, an explicit foreign key connects to organization_renewals(id). Individual uploaded digital documents are stored in public.document_submission_files, establishing foreign keys to both the parent submission and the specific requirement definition. Document records store the Supabase Storage URL (organization-documents bucket), file size, MIME type, optical character recognition (OCR) text extractions, and per-file validation states.</w:t>
      </w:r>
    </w:p>
    <w:p>
      <w:pPr>
        <w:spacing w:before="40" w:after="80" w:line="276" w:lineRule="auto"/>
        <w:jc w:val="left"/>
      </w:pPr>
      <w:r>
        <w:rPr>
          <w:rFonts w:ascii="Times New Roman" w:hAnsi="Times New Roman"/>
          <w:b w:val="0"/>
          <w:i w:val="0"/>
          <w:color w:val="0F172A"/>
          <w:sz w:val="19"/>
        </w:rPr>
        <w:t>Granular administrative feedback and corrective deficiency notices are captured in public.compliance_remarks. This entity links directly to organization_profiles(id) and the reviewing officer, while using polymorphic attributes (related_type and related_id) to target specific submission files or review milestones, maintaining full traceability of resubmission requests.</w:t>
      </w:r>
    </w:p>
    <w:p>
      <w:pPr>
        <w:spacing w:before="120" w:after="40" w:line="276" w:lineRule="auto"/>
        <w:jc w:val="left"/>
      </w:pPr>
      <w:r>
        <w:rPr>
          <w:rFonts w:ascii="Times New Roman" w:hAnsi="Times New Roman"/>
          <w:b/>
          <w:i/>
          <w:color w:val="334155"/>
          <w:sz w:val="20"/>
        </w:rPr>
        <w:t>Table Inventory for Figure 8.3</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required_document_types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catalogue of mandatory YORP compliance documents and downloadable template references.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template-files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20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Compliance submission batch headers tracking review cycle and administrative decisions.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 reviewed_by -&gt; admin_accounts.id, renewal_id -&gt; organization_renewals.id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6</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Individual uploaded compliance files, storage URIs, OCR metadata, and review states.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submission_id -&gt; document_submissions.id, document_type_id -&gt; required_document_types.id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organization-documents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39</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Granular administrative feedback, deficiency notices, and revision instructions.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created_by -&gt; auth.users.id, resolved_by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bl>
    <w:p>
      <w:pPr>
        <w:spacing w:after="80"/>
      </w:pPr>
    </w:p>
    <w:p>
      <w:pPr>
        <w:spacing w:before="120" w:after="40" w:line="276" w:lineRule="auto"/>
        <w:jc w:val="left"/>
      </w:pPr>
      <w:r>
        <w:rPr>
          <w:rFonts w:ascii="Times New Roman" w:hAnsi="Times New Roman"/>
          <w:b/>
          <w:i/>
          <w:color w:val="334155"/>
          <w:sz w:val="20"/>
        </w:rPr>
        <w:t>Relationship Catalog for Figure 8.3</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document_submissions.submitted_by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document_submissions_submitted_by_fkey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document_submissions.reviewed_by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document_submissions_reviewed_by_fkey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document_submissions.renewal_id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document_submissions_renewal_id_fkey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document_submission_files.submission_id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document_submission_files_submission_id_fkey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document_submission_files.document_type_id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required_document_types.id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document_submission_files_document_type_id_fkey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RESTRICT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compliance_remarks_organization_id_fkey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compliance_remarks_created_by_fkey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compliance_remarks.resolved_by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compliance_remarks_resolved_by_fkey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2.4. Process 3: Manage YPOP Participation and Validation</w:t>
      </w:r>
    </w:p>
    <w:p>
      <w:pPr>
        <w:spacing w:before="40" w:after="120"/>
        <w:jc w:val="center"/>
      </w:pPr>
      <w:r>
        <w:drawing>
          <wp:inline xmlns:a="http://schemas.openxmlformats.org/drawingml/2006/main" xmlns:pic="http://schemas.openxmlformats.org/drawingml/2006/picture">
            <wp:extent cx="8412480" cy="6754592"/>
            <wp:docPr id="4" name="Picture 4"/>
            <wp:cNvGraphicFramePr>
              <a:graphicFrameLocks noChangeAspect="1"/>
            </wp:cNvGraphicFramePr>
            <a:graphic>
              <a:graphicData uri="http://schemas.openxmlformats.org/drawingml/2006/picture">
                <pic:pic>
                  <pic:nvPicPr>
                    <pic:cNvPr id="0" name="Figure_8_4_YPOP_Participation_and_Validation.png"/>
                    <pic:cNvPicPr/>
                  </pic:nvPicPr>
                  <pic:blipFill>
                    <a:blip r:embed="rId12"/>
                    <a:stretch>
                      <a:fillRect/>
                    </a:stretch>
                  </pic:blipFill>
                  <pic:spPr>
                    <a:xfrm>
                      <a:off x="0" y="0"/>
                      <a:ext cx="8412480" cy="6754592"/>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8.4</w:t>
      </w:r>
    </w:p>
    <w:p>
      <w:pPr>
        <w:spacing w:before="40" w:after="80" w:line="276" w:lineRule="auto"/>
        <w:jc w:val="left"/>
      </w:pPr>
      <w:r>
        <w:rPr>
          <w:rFonts w:ascii="Times New Roman" w:hAnsi="Times New Roman"/>
          <w:b w:val="0"/>
          <w:i w:val="0"/>
          <w:color w:val="0F172A"/>
          <w:sz w:val="19"/>
        </w:rPr>
        <w:t>Figure 8.4 depicts the relational data model supporting the Youth Participation Organization Passport (YPOP), an incentive-driven governance mechanism established under Article V, Section 18.1 of the Pasig City Youth Development Code (Ordinance No. 50-2024). YPOP implements a merit-based point accumulation framework that validates youth organization engagement in municipal development programs. The operational framework is anchored by public.ypop_periods, which defines semi-annual passport cycles, validation cutoffs, and JSON-configured organization-led project bonus tiers.</w:t>
      </w:r>
    </w:p>
    <w:p>
      <w:pPr>
        <w:spacing w:before="40" w:after="80" w:line="276" w:lineRule="auto"/>
        <w:jc w:val="left"/>
      </w:pPr>
      <w:r>
        <w:rPr>
          <w:rFonts w:ascii="Times New Roman" w:hAnsi="Times New Roman"/>
          <w:b w:val="0"/>
          <w:i w:val="0"/>
          <w:color w:val="0F172A"/>
          <w:sz w:val="19"/>
        </w:rPr>
        <w:t>Municipal events organized by PCYDO are cataloged in public.ypop_city_activities, categorized into three distinct point categories: Mandatory City-led activities (4 points), Invitational City-led activities (3 points), and Partnership activities (2 points). Youth organizations log attendance for city activities via public.ypop_event_participations, attaching digital attendance proof, event photos, and certification in public.ypop_event_files (stored in the ypop-files bucket). To incentivize grassroots community work, organizations also log independent community projects in public.ypop_org_activities with supporting verification files in public.ypop_org_activity_files, earning tiered percentage bonuses (10% for 1-3 activities, 15% for 4-6, 20% for 7-9, and 25% for 10 or more activities).</w:t>
      </w:r>
    </w:p>
    <w:p>
      <w:pPr>
        <w:spacing w:before="40" w:after="80" w:line="276" w:lineRule="auto"/>
        <w:jc w:val="left"/>
      </w:pPr>
      <w:r>
        <w:rPr>
          <w:rFonts w:ascii="Times New Roman" w:hAnsi="Times New Roman"/>
          <w:b w:val="0"/>
          <w:i w:val="0"/>
          <w:color w:val="0F172A"/>
          <w:sz w:val="19"/>
        </w:rPr>
        <w:t>All validated participation points and bonus calculations are consolidated into public.ypop_entries. This master passport entry evaluates whether an organization achieves the mandatory 70% threshold required to qualify for project grant funding. The entity public.ypop_files is maintained as a legacy proof repository linked to ypop_entries for historical data integrity.</w:t>
      </w:r>
    </w:p>
    <w:p>
      <w:pPr>
        <w:spacing w:before="120" w:after="40" w:line="276" w:lineRule="auto"/>
        <w:jc w:val="left"/>
      </w:pPr>
      <w:r>
        <w:rPr>
          <w:rFonts w:ascii="Times New Roman" w:hAnsi="Times New Roman"/>
          <w:b/>
          <w:i/>
          <w:color w:val="334155"/>
          <w:sz w:val="20"/>
        </w:rPr>
        <w:t>Table Inventory for Figure 8.4</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ypop_periods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Semi-annual YPOP cycle configuration, validation deadlines, and scoring rules.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1</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City-led municipal activities, scheduled dates, venues, and assignable points.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semester_key -&gt; ypop_periods.semester_key</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 attendance logs and participation claims for city-led 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activity_id -&gt; ypop_city_activities.id, 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6</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proof of attendance and event photos for city-led participation.</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participation_id -&gt; ypop_event_participations.id,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ypop-files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6</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semester passport entries consolidating earned points, bonus tiers, and eligibility status.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6</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Grassroots organization-led PPAs submitted for percentage bonus points.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ypop_entry_id -&gt; ypop_entries.id, organization_id -&gt; organization_profiles.id, submitted_by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2</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Proof documents, participant rosters, and post-activity reports for org PPAs.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org_activity_id -&gt; ypop_org_activities.id, organization_id -&gt; organization_profiles.id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5</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file repository supporting passport entry attachment history.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ypop_entry_id -&gt; ypop_entries.id,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ypop-files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bl>
    <w:p>
      <w:pPr>
        <w:spacing w:after="80"/>
      </w:pPr>
    </w:p>
    <w:p>
      <w:pPr>
        <w:spacing w:before="120" w:after="40" w:line="276" w:lineRule="auto"/>
        <w:jc w:val="left"/>
      </w:pPr>
      <w:r>
        <w:rPr>
          <w:rFonts w:ascii="Times New Roman" w:hAnsi="Times New Roman"/>
          <w:b/>
          <w:i/>
          <w:color w:val="334155"/>
          <w:sz w:val="20"/>
        </w:rPr>
        <w:t>Relationship Catalog for Figure 8.4</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ypop_city_activities.semester_key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ypop_periods.semester_key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ypop_city_activities_semester_key_fkey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CASCADE</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ypop_event_participations.activity_id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ypop_event_participations_activity_id_fkey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ypop_event_participations_organization_id_fkey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ypop_event_participations.submitted_by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ypop_event_participations_submitted_by_fkey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ypop_event_files.participation_id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ypop_event_files_participation_id_fkey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ypop_event_files_organization_id_fkey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ypop_entries_organization_id_fkey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ypop_entries.submitted_by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ypop_entries_submitted_by_fkey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ypop_org_activities.ypop_entry_id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ypop_org_activities_ypop_entry_id_fkey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ypop_org_activities_organization_id_fkey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ypop_org_activities.submitted_by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ypop_org_activities_submitted_by_fkey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ypop_org_activity_files.org_activity_id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ypop_org_activity_files_org_activity_id_fkey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ypop_org_activity_files_organization_id_fkey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ypop_files.ypop_entry_id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ypop_files_ypop_entry_id_fkey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ypop_files_organization_id_fkey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2.5. Process 4 &amp; 5: Manage Budget Requests, Approval, and Liquidation Reporting</w:t>
      </w:r>
    </w:p>
    <w:p>
      <w:pPr>
        <w:spacing w:before="40" w:after="120"/>
        <w:jc w:val="center"/>
      </w:pPr>
      <w:r>
        <w:drawing>
          <wp:inline xmlns:a="http://schemas.openxmlformats.org/drawingml/2006/main" xmlns:pic="http://schemas.openxmlformats.org/drawingml/2006/picture">
            <wp:extent cx="8412480" cy="5742337"/>
            <wp:docPr id="5" name="Picture 5"/>
            <wp:cNvGraphicFramePr>
              <a:graphicFrameLocks noChangeAspect="1"/>
            </wp:cNvGraphicFramePr>
            <a:graphic>
              <a:graphicData uri="http://schemas.openxmlformats.org/drawingml/2006/picture">
                <pic:pic>
                  <pic:nvPicPr>
                    <pic:cNvPr id="0" name="Figure_8_5_Budget_Requests_and_Liquidation.png"/>
                    <pic:cNvPicPr/>
                  </pic:nvPicPr>
                  <pic:blipFill>
                    <a:blip r:embed="rId13"/>
                    <a:stretch>
                      <a:fillRect/>
                    </a:stretch>
                  </pic:blipFill>
                  <pic:spPr>
                    <a:xfrm>
                      <a:off x="0" y="0"/>
                      <a:ext cx="8412480" cy="5742337"/>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8.5</w:t>
      </w:r>
    </w:p>
    <w:p>
      <w:pPr>
        <w:spacing w:before="40" w:after="80" w:line="276" w:lineRule="auto"/>
        <w:jc w:val="left"/>
      </w:pPr>
      <w:r>
        <w:rPr>
          <w:rFonts w:ascii="Times New Roman" w:hAnsi="Times New Roman"/>
          <w:b w:val="0"/>
          <w:i w:val="0"/>
          <w:color w:val="0F172A"/>
          <w:sz w:val="19"/>
        </w:rPr>
        <w:t>Figure 8.5 illustrates the financial governance subsystem managing municipal youth project grants, appropriation tracking, fund disbursement, and statutory liquidation oversight. Under Ordinance No. 50-2024, YPOP-qualified organizations may apply for project grants of up to Php 100,000.00. The fiscal ceiling is administered through public.annual_budget_allocations, which records annual budget envelopes, allocated sums, released funds, and cumulative liquidation totals. Standardized expenditure classifications are maintained in public.budget_purpose_categories (e.g., capability building, sports and health development, community outreach).</w:t>
      </w:r>
    </w:p>
    <w:p>
      <w:pPr>
        <w:spacing w:before="40" w:after="80" w:line="276" w:lineRule="auto"/>
        <w:jc w:val="left"/>
      </w:pPr>
      <w:r>
        <w:rPr>
          <w:rFonts w:ascii="Times New Roman" w:hAnsi="Times New Roman"/>
          <w:b w:val="0"/>
          <w:i w:val="0"/>
          <w:color w:val="0F172A"/>
          <w:sz w:val="19"/>
        </w:rPr>
        <w:t>An eligible organization submits a formal funding request via public.budget_requests. This table validates qualifying status via an explicit foreign key to public.ypop_entries(id) and public.organization_profiles(id). Requests capture proposed activity dates, venue, requested amount, approved amount, release date, and administrative review states (pending, approved, onsite_submission, released, rejected). Supporting project proposals and itemized cost matrices are uploaded to public.budget_request_files and persisted in the budget-request-files storage bucket.</w:t>
      </w:r>
    </w:p>
    <w:p>
      <w:pPr>
        <w:spacing w:before="40" w:after="80" w:line="276" w:lineRule="auto"/>
        <w:jc w:val="left"/>
      </w:pPr>
      <w:r>
        <w:rPr>
          <w:rFonts w:ascii="Times New Roman" w:hAnsi="Times New Roman"/>
          <w:b w:val="0"/>
          <w:i w:val="0"/>
          <w:color w:val="0F172A"/>
          <w:sz w:val="19"/>
        </w:rPr>
        <w:t>Upon administrative fund release, a strictly bound 1:1 liquidation report is instantiated in public.liquidation_reports. In accordance with City Accounting Office (CAO) and Commission on Audit (COA) circulars, recipient organizations must submit comprehensive financial liquidations within ten (10) working days post-implementation. Organizations upload scanned official receipts, honoraria payrolls, and disbursement vouchers to public.liquidation_report_files (stored in liquidation-report-files). Administrators track compliance deadlines, evaluate submitted evidence, and record final liquidation approval, ensuring complete fiscal transparency.</w:t>
      </w:r>
    </w:p>
    <w:p>
      <w:pPr>
        <w:spacing w:before="120" w:after="40" w:line="276" w:lineRule="auto"/>
        <w:jc w:val="left"/>
      </w:pPr>
      <w:r>
        <w:rPr>
          <w:rFonts w:ascii="Times New Roman" w:hAnsi="Times New Roman"/>
          <w:b/>
          <w:i/>
          <w:color w:val="334155"/>
          <w:sz w:val="20"/>
        </w:rPr>
        <w:t>Table Inventory for Figure 8.5</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annual_budget_allocations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Fiscal year municipal appropriation envelopes, allocated totals, and disbursement balances.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1</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budget_purpose_categories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Standardized expenditure categories governing allowable project design costs.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8</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Formal grant funding applications, approved amounts, review states, and fund release logs.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 ypop_entry_id -&gt; ypop_entries.id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5</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Uploaded project design briefs, cost itemizations, and endorsement 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budget-request-files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5</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Statutory post-activity financial liquidation reports linked 1:1 to approved budget 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 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Scanned official receipts, disbursement vouchers, and honoraria payrolls.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liquidation_report_id -&gt; liquidation_reports.id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liquidation-report-files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bl>
    <w:p>
      <w:pPr>
        <w:spacing w:after="80"/>
      </w:pPr>
    </w:p>
    <w:p>
      <w:pPr>
        <w:spacing w:before="120" w:after="40" w:line="276" w:lineRule="auto"/>
        <w:jc w:val="left"/>
      </w:pPr>
      <w:r>
        <w:rPr>
          <w:rFonts w:ascii="Times New Roman" w:hAnsi="Times New Roman"/>
          <w:b/>
          <w:i/>
          <w:color w:val="334155"/>
          <w:sz w:val="20"/>
        </w:rPr>
        <w:t>Relationship Catalog for Figure 8.5</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budget_requests.submitted_by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budget_requests_submitted_by_fkey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budget_requests.ypop_entry_id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budget_requests_ypop_entry_id_fkey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budget_request_files.budget_request_id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budget_request_files_budget_request_id_fkey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liquidation_reports.budget_request_id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liquidation_reports_budget_request_id_fkey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One-to-One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liquidation_reports.submitted_by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liquidation_reports_submitted_by_fkey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liquidation_report_files.liquidation_report_id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liquidation_report_files_liquidation_report_id_fkey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2.6. Process 6 &amp; 7: Communications, System Notifications, and Administrative Audit Trail</w:t>
      </w:r>
    </w:p>
    <w:p>
      <w:pPr>
        <w:spacing w:before="40" w:after="120"/>
        <w:jc w:val="center"/>
      </w:pPr>
      <w:r>
        <w:drawing>
          <wp:inline xmlns:a="http://schemas.openxmlformats.org/drawingml/2006/main" xmlns:pic="http://schemas.openxmlformats.org/drawingml/2006/picture">
            <wp:extent cx="8412480" cy="5475760"/>
            <wp:docPr id="6" name="Picture 6"/>
            <wp:cNvGraphicFramePr>
              <a:graphicFrameLocks noChangeAspect="1"/>
            </wp:cNvGraphicFramePr>
            <a:graphic>
              <a:graphicData uri="http://schemas.openxmlformats.org/drawingml/2006/picture">
                <pic:pic>
                  <pic:nvPicPr>
                    <pic:cNvPr id="0" name="Figure_8_6_News_Notifications_and_Activity_Logs.png"/>
                    <pic:cNvPicPr/>
                  </pic:nvPicPr>
                  <pic:blipFill>
                    <a:blip r:embed="rId14"/>
                    <a:stretch>
                      <a:fillRect/>
                    </a:stretch>
                  </pic:blipFill>
                  <pic:spPr>
                    <a:xfrm>
                      <a:off x="0" y="0"/>
                      <a:ext cx="8412480" cy="5475760"/>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8.6</w:t>
      </w:r>
    </w:p>
    <w:p>
      <w:pPr>
        <w:spacing w:before="40" w:after="80" w:line="276" w:lineRule="auto"/>
        <w:jc w:val="left"/>
      </w:pPr>
      <w:r>
        <w:rPr>
          <w:rFonts w:ascii="Times New Roman" w:hAnsi="Times New Roman"/>
          <w:b w:val="0"/>
          <w:i w:val="0"/>
          <w:color w:val="0F172A"/>
          <w:sz w:val="19"/>
        </w:rPr>
        <w:t>Figure 8.6 represents the cross-cutting communication, event notification, user support inquiry, and security audit subsystem. Public communication and portal announcements are managed via public.news_releases, authored by administrative personnel (admin_accounts.id) with publication flags, posting dates, and media image paths in Supabase Storage (news-release-images bucket).</w:t>
      </w:r>
    </w:p>
    <w:p>
      <w:pPr>
        <w:spacing w:before="40" w:after="80" w:line="276" w:lineRule="auto"/>
        <w:jc w:val="left"/>
      </w:pPr>
      <w:r>
        <w:rPr>
          <w:rFonts w:ascii="Times New Roman" w:hAnsi="Times New Roman"/>
          <w:b w:val="0"/>
          <w:i w:val="0"/>
          <w:color w:val="0F172A"/>
          <w:sz w:val="19"/>
        </w:rPr>
        <w:t>Workflow responsiveness and regulatory deadline awareness are maintained through public.notifications. This entity delivers in-app alerts to organization representatives (auth.users.id) and tracks unread states. To dynamically reference diverse operational triggers without creating multiple hard foreign key constraints, notifications employs polymorphic association attributes: related_type (e.g., 'budget_requests', 'liquidation_reports', 'document_submissions') and related_id (referencing the UUID of the target record).</w:t>
      </w:r>
    </w:p>
    <w:p>
      <w:pPr>
        <w:spacing w:before="40" w:after="80" w:line="276" w:lineRule="auto"/>
        <w:jc w:val="left"/>
      </w:pPr>
      <w:r>
        <w:rPr>
          <w:rFonts w:ascii="Times New Roman" w:hAnsi="Times New Roman"/>
          <w:b w:val="0"/>
          <w:i w:val="0"/>
          <w:color w:val="0F172A"/>
          <w:sz w:val="19"/>
        </w:rPr>
        <w:t>Technical support and administrative inquiries are handled via public.inquiries, allowing youth leaders to submit questions, track status, and receive structured responses from PCYDO personnel. Administrative accountability and security auditability are guaranteed by public.activity_logs. This table records an append-only audit trail of critical operational actions (logins, status changes, approvals, financial modifications), capturing the acting administrator (admin_accounts.id), the impacted organization (organization_profiles.id), polymorphic workflow entity targets, descriptive text, and precise timestamping.</w:t>
      </w:r>
    </w:p>
    <w:p>
      <w:pPr>
        <w:spacing w:before="120" w:after="40" w:line="276" w:lineRule="auto"/>
        <w:jc w:val="left"/>
      </w:pPr>
      <w:r>
        <w:rPr>
          <w:rFonts w:ascii="Times New Roman" w:hAnsi="Times New Roman"/>
          <w:b/>
          <w:i/>
          <w:color w:val="334155"/>
          <w:sz w:val="20"/>
        </w:rPr>
        <w:t>Table Inventory for Figure 8.6</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news_releases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news bulletins, youth program announcements, and media banners.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news-release-images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Automated system notifications and deadline alerts delivered to authenticated users.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user_id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49</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Technical support tickets and administrative inquiry threads submitted by 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8</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Tamper-evident administrative audit trail capturing user actions, timestamps, and operations.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actor_user_id -&gt; admin_accounts.id,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373</w:t>
            </w:r>
          </w:p>
        </w:tc>
      </w:tr>
    </w:tbl>
    <w:p>
      <w:pPr>
        <w:spacing w:after="80"/>
      </w:pPr>
    </w:p>
    <w:p>
      <w:pPr>
        <w:spacing w:before="120" w:after="40" w:line="276" w:lineRule="auto"/>
        <w:jc w:val="left"/>
      </w:pPr>
      <w:r>
        <w:rPr>
          <w:rFonts w:ascii="Times New Roman" w:hAnsi="Times New Roman"/>
          <w:b/>
          <w:i/>
          <w:color w:val="334155"/>
          <w:sz w:val="20"/>
        </w:rPr>
        <w:t>Relationship Catalog for Figure 8.6</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news_releases.created_by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news_releases_created_by_fkey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notifications_organization_id_fkey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notifications.user_id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notifications_user_id_fkey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inquiries_organization_id_fkey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inquiries.submitted_by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inquiries_submitted_by_fkey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activity_logs.actor_user_id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activity_logs_actor_user_id_fkey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activity_logs_organization_id_fkey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2.7. Process 6: Manage Forms, Templates, News, and Inquiries (Sub-process: Public Engagement &amp; Transparency)</w:t>
      </w:r>
    </w:p>
    <w:p>
      <w:pPr>
        <w:spacing w:before="40" w:after="120"/>
        <w:jc w:val="center"/>
      </w:pPr>
      <w:r>
        <w:drawing>
          <wp:inline xmlns:a="http://schemas.openxmlformats.org/drawingml/2006/main" xmlns:pic="http://schemas.openxmlformats.org/drawingml/2006/picture">
            <wp:extent cx="8412480" cy="5075893"/>
            <wp:docPr id="7" name="Picture 7"/>
            <wp:cNvGraphicFramePr>
              <a:graphicFrameLocks noChangeAspect="1"/>
            </wp:cNvGraphicFramePr>
            <a:graphic>
              <a:graphicData uri="http://schemas.openxmlformats.org/drawingml/2006/picture">
                <pic:pic>
                  <pic:nvPicPr>
                    <pic:cNvPr id="0" name="Figure_8_7_Forms_Templates_and_Transparency.png"/>
                    <pic:cNvPicPr/>
                  </pic:nvPicPr>
                  <pic:blipFill>
                    <a:blip r:embed="rId15"/>
                    <a:stretch>
                      <a:fillRect/>
                    </a:stretch>
                  </pic:blipFill>
                  <pic:spPr>
                    <a:xfrm>
                      <a:off x="0" y="0"/>
                      <a:ext cx="8412480" cy="507589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8.7</w:t>
      </w:r>
    </w:p>
    <w:p>
      <w:pPr>
        <w:spacing w:before="40" w:after="80" w:line="276" w:lineRule="auto"/>
        <w:jc w:val="left"/>
      </w:pPr>
      <w:r>
        <w:rPr>
          <w:rFonts w:ascii="Times New Roman" w:hAnsi="Times New Roman"/>
          <w:b w:val="0"/>
          <w:i w:val="0"/>
          <w:color w:val="0F172A"/>
          <w:sz w:val="19"/>
        </w:rPr>
        <w:t>Figure 8.7 delineates the public portal, civic engagement, transparency disclosure, and community event cataloging entities. To promote good governance and open data in local government administration, Y-TRACE provides public repositories for municipal transparency records and youth development programs.</w:t>
      </w:r>
    </w:p>
    <w:p>
      <w:pPr>
        <w:spacing w:before="40" w:after="80" w:line="276" w:lineRule="auto"/>
        <w:jc w:val="left"/>
      </w:pPr>
      <w:r>
        <w:rPr>
          <w:rFonts w:ascii="Times New Roman" w:hAnsi="Times New Roman"/>
          <w:b w:val="0"/>
          <w:i w:val="0"/>
          <w:color w:val="0F172A"/>
          <w:sz w:val="19"/>
        </w:rPr>
        <w:t>Public educational and youth welfare programs are cataloged in public.programs, tracking program descriptions, target demographics, and administering personnel. Municipal youth gatherings and civic summits are scheduled in public.events, recording event dates, venues, and registration links. Civic transparency and statutory municipal disclosures are published via public.transparency_posts and public.disclosure_documents, providing public citizens and youth stakeholders with downloadable access to official municipal reports, annual budgets, and resolutions stored in the transparency-attachments storage bucket. All four entities maintain explicit foreign keys to auth.users(id) to record the publishing officer. Downloadable document templates are cross-referenced from public.required_document_types, which hosts official blank compliance forms in the template-files bucket.</w:t>
      </w:r>
    </w:p>
    <w:p>
      <w:pPr>
        <w:spacing w:before="120" w:after="40" w:line="276" w:lineRule="auto"/>
        <w:jc w:val="left"/>
      </w:pPr>
      <w:r>
        <w:rPr>
          <w:rFonts w:ascii="Times New Roman" w:hAnsi="Times New Roman"/>
          <w:b/>
          <w:i/>
          <w:color w:val="334155"/>
          <w:sz w:val="20"/>
        </w:rPr>
        <w:t>Table Inventory for Figure 8.7</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programs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Institutional youth programs, target youth demographics, and program outlines.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events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Municipal youth events calendar, dates, venues, and registration URLs.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transparency_posts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governance posts and administrative transparency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downloadable disclosure PDFs, resolutions, and budget summaries.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transparency-attachments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bl>
    <w:p>
      <w:pPr>
        <w:spacing w:after="80"/>
      </w:pPr>
    </w:p>
    <w:p>
      <w:pPr>
        <w:spacing w:before="120" w:after="40" w:line="276" w:lineRule="auto"/>
        <w:jc w:val="left"/>
      </w:pPr>
      <w:r>
        <w:rPr>
          <w:rFonts w:ascii="Times New Roman" w:hAnsi="Times New Roman"/>
          <w:b/>
          <w:i/>
          <w:color w:val="334155"/>
          <w:sz w:val="20"/>
        </w:rPr>
        <w:t>Relationship Catalog for Figure 8.7</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programs.created_by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programs_created_by_fkey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events.created_by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events_created_by_fkey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transparency_posts.created_by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transparency_posts_created_by_fkey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disclosure_documents_created_by_fkey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2.8. Process 1 &amp; 6: Specialized Youth MOVE Assistance Program</w:t>
      </w:r>
    </w:p>
    <w:p>
      <w:pPr>
        <w:spacing w:before="40" w:after="120"/>
        <w:jc w:val="center"/>
      </w:pPr>
      <w:r>
        <w:drawing>
          <wp:inline xmlns:a="http://schemas.openxmlformats.org/drawingml/2006/main" xmlns:pic="http://schemas.openxmlformats.org/drawingml/2006/picture">
            <wp:extent cx="8412480" cy="4767148"/>
            <wp:docPr id="8" name="Picture 8"/>
            <wp:cNvGraphicFramePr>
              <a:graphicFrameLocks noChangeAspect="1"/>
            </wp:cNvGraphicFramePr>
            <a:graphic>
              <a:graphicData uri="http://schemas.openxmlformats.org/drawingml/2006/picture">
                <pic:pic>
                  <pic:nvPicPr>
                    <pic:cNvPr id="0" name="Figure_8_8_Youth_MOVE_Applications.png"/>
                    <pic:cNvPicPr/>
                  </pic:nvPicPr>
                  <pic:blipFill>
                    <a:blip r:embed="rId16"/>
                    <a:stretch>
                      <a:fillRect/>
                    </a:stretch>
                  </pic:blipFill>
                  <pic:spPr>
                    <a:xfrm>
                      <a:off x="0" y="0"/>
                      <a:ext cx="8412480" cy="4767148"/>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8.8</w:t>
      </w:r>
    </w:p>
    <w:p>
      <w:pPr>
        <w:spacing w:before="40" w:after="80" w:line="276" w:lineRule="auto"/>
        <w:jc w:val="left"/>
      </w:pPr>
      <w:r>
        <w:rPr>
          <w:rFonts w:ascii="Times New Roman" w:hAnsi="Times New Roman"/>
          <w:b w:val="0"/>
          <w:i w:val="0"/>
          <w:color w:val="0F172A"/>
          <w:sz w:val="19"/>
        </w:rPr>
        <w:t>Figure 8.8 depicts the dedicated database schema partition supporting the Youth MOVE (Mobility Opportunity for Vibrant Engagement) program. Youth MOVE is a specialized municipal initiative providing youth organizations with vehicular logistics, travel coordination, and mobility support for educational, athletic, and leadership representation outside Pasig City.</w:t>
      </w:r>
    </w:p>
    <w:p>
      <w:pPr>
        <w:spacing w:before="40" w:after="80" w:line="276" w:lineRule="auto"/>
        <w:jc w:val="left"/>
      </w:pPr>
      <w:r>
        <w:rPr>
          <w:rFonts w:ascii="Times New Roman" w:hAnsi="Times New Roman"/>
          <w:b w:val="0"/>
          <w:i w:val="0"/>
          <w:color w:val="0F172A"/>
          <w:sz w:val="19"/>
        </w:rPr>
        <w:t>An accredited organization submits a mobility request through public.move_applications, creating explicit foreign keys to public.organization_profiles(id) and public.auth.users(id). The application records travel dates, destinations, passenger counts, vehicle requirements, and administrative review states (pending, approved, dispatched, completed, rejected). Supporting documentation — such as parental consent waivers, official competition invitations, and passenger manifests — are tracked in public.move_files, with physical files stored securely in the move-files storage bucket. Explicit foreign keys enforce referential integrity between move_files, the parent application, and the participating organization profile.</w:t>
      </w:r>
    </w:p>
    <w:p>
      <w:pPr>
        <w:spacing w:before="120" w:after="40" w:line="276" w:lineRule="auto"/>
        <w:jc w:val="left"/>
      </w:pPr>
      <w:r>
        <w:rPr>
          <w:rFonts w:ascii="Times New Roman" w:hAnsi="Times New Roman"/>
          <w:b/>
          <w:i/>
          <w:color w:val="334155"/>
          <w:sz w:val="20"/>
        </w:rPr>
        <w:t>Table Inventory for Figure 8.8</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Specialized youth mobility and vehicle coordination 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travel waivers, passenger rosters, and event invitations.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application_id -&gt; move_applications.id,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move-files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0</w:t>
            </w:r>
          </w:p>
        </w:tc>
      </w:tr>
    </w:tbl>
    <w:p>
      <w:pPr>
        <w:spacing w:after="80"/>
      </w:pPr>
    </w:p>
    <w:p>
      <w:pPr>
        <w:spacing w:before="120" w:after="40" w:line="276" w:lineRule="auto"/>
        <w:jc w:val="left"/>
      </w:pPr>
      <w:r>
        <w:rPr>
          <w:rFonts w:ascii="Times New Roman" w:hAnsi="Times New Roman"/>
          <w:b/>
          <w:i/>
          <w:color w:val="334155"/>
          <w:sz w:val="20"/>
        </w:rPr>
        <w:t>Relationship Catalog for Figure 8.8</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Child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Parent Table &amp; Column</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Constraint Name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584"/>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Cardinality</w:t>
            </w:r>
          </w:p>
        </w:tc>
        <w:tc>
          <w:tcPr>
            <w:tcW w:type="dxa" w:w="144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On Delete / Update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move_applications.organization_id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move_applications_organization_id_fkey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move_applications.submitted_by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auth.users.id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move_applications_submitted_by_fkey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SET NULL / NO ACTION</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move_files.application_id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move_applications.id</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move_files_application_id_fkey</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move_files.organization_id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organization_profiles.id</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move_files_organization_id_fkey</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Explicit FK</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Many-to-One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center"/>
            </w:pPr>
            <w:r/>
            <w:r>
              <w:rPr>
                <w:rFonts w:ascii="Times New Roman" w:hAnsi="Times New Roman"/>
                <w:b w:val="0"/>
                <w:i w:val="0"/>
                <w:color w:val="0F172A"/>
                <w:sz w:val="15"/>
              </w:rPr>
              <w:t>CASCADE / NO ACTION</w:t>
            </w:r>
          </w:p>
        </w:tc>
      </w:tr>
    </w:tbl>
    <w:p>
      <w:pPr>
        <w:spacing w:after="120"/>
      </w:pPr>
    </w:p>
    <w:p>
      <w:r>
        <w:br w:type="page"/>
      </w:r>
    </w:p>
    <w:p>
      <w:pPr>
        <w:spacing w:before="240" w:after="80" w:line="276" w:lineRule="auto"/>
        <w:jc w:val="left"/>
      </w:pPr>
      <w:r>
        <w:rPr>
          <w:rFonts w:ascii="Times New Roman" w:hAnsi="Times New Roman"/>
          <w:b/>
          <w:i w:val="0"/>
          <w:color w:val="285587"/>
          <w:sz w:val="26"/>
        </w:rPr>
        <w:t>3. Cross-Process and Polymorphic Relationship Architecture</w:t>
      </w:r>
    </w:p>
    <w:p>
      <w:pPr>
        <w:spacing w:before="40" w:after="80" w:line="276" w:lineRule="auto"/>
        <w:jc w:val="left"/>
      </w:pPr>
      <w:r>
        <w:rPr>
          <w:rFonts w:ascii="Times New Roman" w:hAnsi="Times New Roman"/>
          <w:b w:val="0"/>
          <w:i w:val="0"/>
          <w:color w:val="0F172A"/>
          <w:sz w:val="20"/>
        </w:rPr>
        <w:t>While the physical relational integrity of the Y-TRACE database is strictly enforced through sixty-five (65) foreign key constraints, several vital enterprise workflows require cross-cutting associations that cannot be modeled through conventional single-target foreign keys. To preserve structural flexibility, avoid proliferation of sparse nullable foreign key columns, and prevent tight coupling between independent modules, the architecture incorporates two specialized relational design patterns: Polymorphic Application References and Logical / Non-Enforced References.</w:t>
      </w:r>
    </w:p>
    <w:p>
      <w:pPr>
        <w:spacing w:before="160" w:after="60" w:line="276" w:lineRule="auto"/>
        <w:jc w:val="left"/>
      </w:pPr>
      <w:r>
        <w:rPr>
          <w:rFonts w:ascii="Times New Roman" w:hAnsi="Times New Roman"/>
          <w:b/>
          <w:i w:val="0"/>
          <w:color w:val="1E293B"/>
          <w:sz w:val="23"/>
        </w:rPr>
        <w:t>3.1. Polymorphic Application References</w:t>
      </w:r>
    </w:p>
    <w:p>
      <w:pPr>
        <w:spacing w:before="40" w:after="80" w:line="276" w:lineRule="auto"/>
        <w:jc w:val="left"/>
      </w:pPr>
      <w:r>
        <w:rPr>
          <w:rFonts w:ascii="Times New Roman" w:hAnsi="Times New Roman"/>
          <w:b w:val="0"/>
          <w:i w:val="0"/>
          <w:color w:val="0F172A"/>
          <w:sz w:val="20"/>
        </w:rPr>
        <w:t>In multi-functional local governance systems, notification mechanisms, administrative audit trails, and review remarks must dynamically attach to heterogeneous records across different operational modules. Rather than creating disparate notification tables for every individual entity or polluting tables with dozens of nullable foreign keys, Y-TRACE implements the Polymorphic Association pattern. Under this pattern, a record stores two complementary attributes: a discriminator column (related_type as text) that designates the target entity name, and an identifier column (related_id as uuid) that stores the target record's primary key value. Application logic and UI routing resolve these pairs to direct users to the exact submission, report, or inquiry in question.</w:t>
      </w:r>
    </w:p>
    <w:tbl>
      <w:tblPr>
        <w:tblW w:type="auto" w:w="0"/>
        <w:jc w:val="center"/>
        <w:tblLook w:firstColumn="1" w:firstRow="1" w:lastColumn="0" w:lastRow="0" w:noHBand="0" w:noVBand="1" w:val="04A0"/>
      </w:tblPr>
      <w:tblGrid>
        <w:gridCol w:w="3528"/>
        <w:gridCol w:w="3528"/>
        <w:gridCol w:w="3528"/>
        <w:gridCol w:w="3528"/>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Table</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Discriminator Columns</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Supported Target Entities</w:t>
            </w:r>
          </w:p>
        </w:tc>
        <w:tc>
          <w:tcPr>
            <w:tcW w:type="dxa" w:w="432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Operational Workflow Purpose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related_type (text)</w:t>
              <w:br/>
              <w:t>related_id (uuid)</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budget_requests, liquidation_reports, document_submissions, ypop_entries, inquiries</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Directs users to specific workflow milestones, revision requests, or approval notices across all modules.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related_type (text)</w:t>
              <w:br/>
              <w:t>related_id (uuid)</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organization_profiles, budget_requests, liquidation_reports, document_submissions, ypop_entries, policy_versions</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Provides immutable audit trails capturing administrative actions (approvals, edits, logins) against target entities.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related_type (text)</w:t>
              <w:br/>
              <w:t>related_id (uuid)</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 document_submission_files, organization_renewals</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Attaches granular corrective feedback and deficiency notices to specific compliance submissions or files.</w:t>
            </w:r>
          </w:p>
        </w:tc>
      </w:tr>
    </w:tbl>
    <w:p>
      <w:pPr>
        <w:spacing w:before="40" w:after="160" w:line="276" w:lineRule="auto"/>
        <w:jc w:val="center"/>
      </w:pPr>
      <w:r>
        <w:rPr>
          <w:rFonts w:ascii="Times New Roman" w:hAnsi="Times New Roman"/>
          <w:b w:val="0"/>
          <w:i/>
          <w:color w:val="0F172A"/>
          <w:sz w:val="17"/>
        </w:rPr>
        <w:t>Table 8.9. Polymorphic Relationship Specifications in Y-TRACE</w:t>
      </w:r>
    </w:p>
    <w:p>
      <w:pPr>
        <w:spacing w:before="160" w:after="60" w:line="276" w:lineRule="auto"/>
        <w:jc w:val="left"/>
      </w:pPr>
      <w:r>
        <w:rPr>
          <w:rFonts w:ascii="Times New Roman" w:hAnsi="Times New Roman"/>
          <w:b/>
          <w:i w:val="0"/>
          <w:color w:val="1E293B"/>
          <w:sz w:val="23"/>
        </w:rPr>
        <w:t>3.2. Logical / Application-Level Cross-Table References</w:t>
      </w:r>
    </w:p>
    <w:p>
      <w:pPr>
        <w:spacing w:before="40" w:after="80" w:line="276" w:lineRule="auto"/>
        <w:jc w:val="left"/>
      </w:pPr>
      <w:r>
        <w:rPr>
          <w:rFonts w:ascii="Times New Roman" w:hAnsi="Times New Roman"/>
          <w:b w:val="0"/>
          <w:i w:val="0"/>
          <w:color w:val="0F172A"/>
          <w:sz w:val="20"/>
        </w:rPr>
        <w:t>Certain business relationships in Y-TRACE are purposely maintained as logical links at the application layer rather than hard PostgreSQL foreign keys. This architectural decision accommodates municipal data lifecycles where historical records must remain immutable and decoupled from active configuration changes, such as annual budget resets or category taxonomy refinements. Table 8.10 documents the verified logical relationships.</w:t>
      </w:r>
    </w:p>
    <w:tbl>
      <w:tblPr>
        <w:tblW w:type="auto" w:w="0"/>
        <w:jc w:val="center"/>
        <w:tblLook w:firstColumn="1" w:firstRow="1" w:lastColumn="0" w:lastRow="0" w:noHBand="0" w:noVBand="1" w:val="04A0"/>
      </w:tblPr>
      <w:tblGrid>
        <w:gridCol w:w="3528"/>
        <w:gridCol w:w="3528"/>
        <w:gridCol w:w="3528"/>
        <w:gridCol w:w="3528"/>
      </w:tblGrid>
      <w:tr>
        <w:trPr>
          <w:tblHeader/>
          <w:cantSplit/>
        </w:trPr>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Field</w:t>
            </w:r>
          </w:p>
        </w:tc>
        <w:tc>
          <w:tcPr>
            <w:tcW w:type="dxa" w:w="3168"/>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Target Field</w:t>
            </w:r>
          </w:p>
        </w:tc>
        <w:tc>
          <w:tcPr>
            <w:tcW w:type="dxa" w:w="3456"/>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Relationship Nature</w:t>
            </w:r>
          </w:p>
        </w:tc>
        <w:tc>
          <w:tcPr>
            <w:tcW w:type="dxa" w:w="4320"/>
            <w:shd w:fill="334155"/>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Architectural Rationale</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budget_requests.fiscal_year</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annual_budget_allocations.fiscal_year</w:t>
            </w:r>
          </w:p>
        </w:tc>
        <w:tc>
          <w:tcPr>
            <w:tcW w:type="dxa" w:w="345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Logical Integer Link</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Binds grant requests to annual appropriations without locking prior fiscal allocations during annual rollover.</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budget_requests.purpose_category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budget_purpose_categories.name</w:t>
            </w:r>
          </w:p>
        </w:tc>
        <w:tc>
          <w:tcPr>
            <w:tcW w:type="dxa" w:w="345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Logical Text Key Link</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Preserves verbatim proposal category strings even if administrative taxonomy definitions are reworded.</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ypop_entries.semester</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ypop_periods.semester_key</w:t>
            </w:r>
          </w:p>
        </w:tc>
        <w:tc>
          <w:tcPr>
            <w:tcW w:type="dxa" w:w="345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Logical Text Key Link</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Maintains historical student passport records linked to semester codes (e.g. '2026-1st-sem') without hard cascade dependency.</w:t>
            </w:r>
          </w:p>
        </w:tc>
      </w:tr>
      <w:tr>
        <w:trPr>
          <w:cantSplit/>
        </w:trPr>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organization_profiles.barangay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barangays.name</w:t>
            </w:r>
          </w:p>
        </w:tc>
        <w:tc>
          <w:tcPr>
            <w:tcW w:type="dxa" w:w="345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Logical Name Reference</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Facilitates geographic filtering across Pasig City's 30 barangays while permitting custom settlement names if required.</w:t>
            </w:r>
          </w:p>
        </w:tc>
      </w:tr>
      <w:tr>
        <w:trPr>
          <w:cantSplit/>
        </w:trPr>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user_profiles.barangay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barangays.name</w:t>
            </w:r>
          </w:p>
        </w:tc>
        <w:tc>
          <w:tcPr>
            <w:tcW w:type="dxa" w:w="345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Logical Name Reference</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Associates user residential location with official barangay master list for demographic analytics.</w:t>
            </w:r>
          </w:p>
        </w:tc>
      </w:tr>
    </w:tbl>
    <w:p>
      <w:pPr>
        <w:spacing w:before="40" w:after="160" w:line="276" w:lineRule="auto"/>
        <w:jc w:val="center"/>
      </w:pPr>
      <w:r>
        <w:rPr>
          <w:rFonts w:ascii="Times New Roman" w:hAnsi="Times New Roman"/>
          <w:b w:val="0"/>
          <w:i/>
          <w:color w:val="0F172A"/>
          <w:sz w:val="17"/>
        </w:rPr>
        <w:t>Table 8.10. Logical and Non-Enforced Application References</w:t>
      </w:r>
    </w:p>
    <w:p>
      <w:pPr>
        <w:spacing w:before="160" w:after="60" w:line="276" w:lineRule="auto"/>
        <w:jc w:val="left"/>
      </w:pPr>
      <w:r>
        <w:rPr>
          <w:rFonts w:ascii="Times New Roman" w:hAnsi="Times New Roman"/>
          <w:b/>
          <w:i w:val="0"/>
          <w:color w:val="1E293B"/>
          <w:sz w:val="23"/>
        </w:rPr>
        <w:t>3.3. Shared Core Entities Across Process Workflows</w:t>
      </w:r>
    </w:p>
    <w:p>
      <w:pPr>
        <w:spacing w:before="40" w:after="80" w:line="276" w:lineRule="auto"/>
        <w:jc w:val="left"/>
      </w:pPr>
      <w:r>
        <w:rPr>
          <w:rFonts w:ascii="Times New Roman" w:hAnsi="Times New Roman"/>
          <w:b w:val="0"/>
          <w:i w:val="0"/>
          <w:color w:val="0F172A"/>
          <w:sz w:val="20"/>
        </w:rPr>
        <w:t>A critical strength of the Y-TRACE schema architecture is the centralization of core anchor entities across multiple workflows. Rather than duplicating organizational or identity metadata, the schema utilizes shared master entities that act as parents across diverse processes:</w:t>
        <w:br/>
        <w:t>1. public.organization_profiles: Anchors eight (8) separate subsystems: Registration (Fig 8.2), Compliance (Fig 8.3), YPOP (Fig 8.4), Budget (Fig 8.5), Liquidation (Fig 8.5), Notifications &amp; Audit (Fig 8.6), and Youth MOVE (Fig 8.8).</w:t>
        <w:br/>
        <w:t>2. auth.users: Provides universal actor identity and authentication across all public portal entities (Fig 8.1 through 8.8).</w:t>
        <w:br/>
        <w:t>3. public.admin_accounts: Serves as the universal administrative actor reference across review, approval, resolution, and audit logging modules.</w:t>
      </w:r>
    </w:p>
    <w:p>
      <w:r>
        <w:br w:type="page"/>
      </w:r>
    </w:p>
    <w:p>
      <w:pPr>
        <w:spacing w:before="240" w:after="80" w:line="276" w:lineRule="auto"/>
        <w:jc w:val="left"/>
      </w:pPr>
      <w:r>
        <w:rPr>
          <w:rFonts w:ascii="Times New Roman" w:hAnsi="Times New Roman"/>
          <w:b/>
          <w:i w:val="0"/>
          <w:color w:val="285587"/>
          <w:sz w:val="26"/>
        </w:rPr>
        <w:t>4. Supabase Storage Bucket Architecture &amp; Object Integration</w:t>
      </w:r>
    </w:p>
    <w:p>
      <w:pPr>
        <w:spacing w:before="40" w:after="80" w:line="276" w:lineRule="auto"/>
        <w:jc w:val="left"/>
      </w:pPr>
      <w:r>
        <w:rPr>
          <w:rFonts w:ascii="Times New Roman" w:hAnsi="Times New Roman"/>
          <w:b w:val="0"/>
          <w:i w:val="0"/>
          <w:color w:val="0F172A"/>
          <w:sz w:val="20"/>
        </w:rPr>
        <w:t>To handle digital documentary submissions, financial evidence, scanned official receipts, and media attachments without bloat in the PostgreSQL relational engine, Y-TRACE integrates Supabase Storage. The system provisions nine (9) dedicated storage buckets, each partitioned with specific access-control policies, MIME restrictions, and automated path generation. Storage URIs are stored in corresponding database columns to maintain 1:1 or 1:N relational links.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Bucket Name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Access Type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Max File Size</w:t>
            </w:r>
          </w:p>
        </w:tc>
        <w:tc>
          <w:tcPr>
            <w:tcW w:type="dxa" w:w="40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Linked Table &amp; Column</w:t>
            </w:r>
          </w:p>
        </w:tc>
        <w:tc>
          <w:tcPr>
            <w:tcW w:type="dxa" w:w="432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Workflow &amp; Path Structure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organization-documents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Mandatory annual compliance files (Accomplishment Reports, Roster). Path: /{org_id}/{submission_id}/{filename}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budget-request-files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Project grant proposals, activity designs, itemized budgets. Path: /{org_id}/{request_id}/{filename}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liquidation-report-files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receipts, disbursement vouchers, honoraria payrolls. Path: /{org_id}/{liquidation_id}/{filename}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ypop_event_files.file_url</w:t>
              <w:br/>
              <w:t>ypop_org_activity_files.file_url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Proof of attendance, event photos, activity reports for passport scoring. Path: /{org_id}/ypop/{entry_id}/{filename}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Youth MOVE vehicle applications, passenger rosters, liability waivers. Path: /{org_id}/move/{application_id}/{filename}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template-files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required_document_types.template_url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Downloadable blank compliance forms, liquidation matrices, and guides. Path: /templates/{filename}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news-release-images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news_releases.preview_image_url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Promotional banners, cover images, and media assets for portal news. Path: /news/{news_id}/{filename}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transparency-attachments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disclosure_documents.storage_path</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youth codes, budget allocations, audit resolutions. Path: /transparency/{year}/{filename}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avatars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user_profiles.avatar_url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profile photos and organization logos. Path: /avatars/{user_id}/{filename}</w:t>
            </w:r>
          </w:p>
        </w:tc>
      </w:tr>
    </w:tbl>
    <w:p>
      <w:pPr>
        <w:spacing w:before="40" w:after="160" w:line="276" w:lineRule="auto"/>
        <w:jc w:val="center"/>
      </w:pPr>
      <w:r>
        <w:rPr>
          <w:rFonts w:ascii="Times New Roman" w:hAnsi="Times New Roman"/>
          <w:b w:val="0"/>
          <w:i/>
          <w:color w:val="0F172A"/>
          <w:sz w:val="17"/>
        </w:rPr>
        <w:t>Table 8.11. Supabase Storage Bucket Mapping and Configuration Specifications</w:t>
      </w:r>
    </w:p>
    <w:p>
      <w:r>
        <w:br w:type="page"/>
      </w:r>
    </w:p>
    <w:p>
      <w:pPr>
        <w:spacing w:before="240" w:after="80" w:line="276" w:lineRule="auto"/>
        <w:jc w:val="left"/>
      </w:pPr>
      <w:r>
        <w:rPr>
          <w:rFonts w:ascii="Times New Roman" w:hAnsi="Times New Roman"/>
          <w:b/>
          <w:i w:val="0"/>
          <w:color w:val="285587"/>
          <w:sz w:val="26"/>
        </w:rPr>
        <w:t>5. Database Schema Coverage Matrix (42 of 42 Application Tables)</w:t>
      </w:r>
    </w:p>
    <w:p>
      <w:pPr>
        <w:spacing w:before="40" w:after="80" w:line="276" w:lineRule="auto"/>
        <w:jc w:val="left"/>
      </w:pPr>
      <w:r>
        <w:rPr>
          <w:rFonts w:ascii="Times New Roman" w:hAnsi="Times New Roman"/>
          <w:b w:val="0"/>
          <w:i w:val="0"/>
          <w:color w:val="0F172A"/>
          <w:sz w:val="20"/>
        </w:rPr>
        <w:t>To satisfy the strict empirical requirements of the capstone technical evaluation, Table 8.12 presents the complete Database Schema Coverage Matrix. Every single one of the forty-two (42) public application tables identified during the authoritative Supabase database audit (conducted September 15, 2026) is cataloged alongside its primary operational process, assigned ERD figure, physical architectural role, audited live row count, and verified inclusion status. Zero tables are omitted, ensuring 100.0% comprehensive documentation.</w:t>
      </w:r>
    </w:p>
    <w:tbl>
      <w:tblPr>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cantSplit/>
        </w:trPr>
        <w:tc>
          <w:tcPr>
            <w:tcW w:type="dxa" w:w="57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374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Operational Process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Entity Architectural Role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Row Count</w:t>
            </w:r>
          </w:p>
        </w:tc>
        <w:tc>
          <w:tcPr>
            <w:tcW w:type="dxa" w:w="10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Included?</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Credentials &amp; Profile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admin_sessions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Server-Side Session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241</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annual_budget_allocations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&amp; 5: Budget Requests &amp; Liquidation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Fiscal Ceiling &amp; Appropriation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barangays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Geographic &amp; Demographic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budget_purpose_categories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Allowable Cost Classification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Proposal Document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Grant Proposal &amp; Release Workflow</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Workflow Deficiency &amp; Revision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Transparency Document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Uploaded Compliance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Compliance Submission Batch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events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Municipal Youth Calendar</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Support</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Two-Way User Inquiry Threading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Scanned Official Receipt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CAO/COA Post-Activity Liquidation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Youth Mobility &amp; Logistics Application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Mobility Roster &amp; Waiver Attachments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news_releases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News Bulletin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Alerts</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Cross-Cutting In-App Workflow Alerts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Accreditation Certificate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Primary Youth Organization Master Registry</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 YORP Renewal Application Cycle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Organization Fallback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policy_versions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Legal Terms &amp; Privacy Policy Versions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programs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Municipal Youth Development Programs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required_document_types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Mandatory Compliance Document Catalog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Role-Based Access Control (RBAC) Master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transparency_posts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Civic Governance Bulletins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units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PCYDO Functional Administrative Units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urn_review_history</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Unique Registration Number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RA 10173 Legal Acceptance Gate Log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user_profiles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Biographical Profile for Authenticated Users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Associative User-to-Role Assignment</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ypop_city_activities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City-Led Activities &amp; Point Values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Master Semester YPOP Passport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Attendance Verification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 Attendance Claim Headers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Passport Proof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Community PPA Records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ypop_org_activity_files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Project Evidence &amp; Photos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ypop_periods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 Semi-Annual Cycle Configuration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bl>
    <w:p>
      <w:pPr>
        <w:spacing w:before="40" w:after="160" w:line="276" w:lineRule="auto"/>
        <w:jc w:val="center"/>
      </w:pPr>
      <w:r>
        <w:rPr>
          <w:rFonts w:ascii="Times New Roman" w:hAnsi="Times New Roman"/>
          <w:b w:val="0"/>
          <w:i/>
          <w:color w:val="0F172A"/>
          <w:sz w:val="17"/>
        </w:rPr>
        <w:t>Table 8.12. Complete Database Schema Coverage Matrix</w:t>
      </w:r>
    </w:p>
    <w:tbl>
      <w:tblPr>
        <w:tblW w:type="auto" w:w="0"/>
        <w:jc w:val="center"/>
        <w:tblLook w:firstColumn="1" w:firstRow="1" w:lastColumn="0" w:lastRow="0" w:noHBand="0" w:noVBand="1" w:val="04A0"/>
      </w:tblPr>
      <w:tblGrid>
        <w:gridCol w:w="14112"/>
      </w:tblGrid>
      <w:tr>
        <w:tc>
          <w:tcPr>
            <w:tcW w:type="dxa" w:w="14112"/>
            <w:shd w:fill="F0FDF4"/>
            <w:tcBorders>
              <w:top w:val="single" w:sz="8" w:space="0" w:color="16A34A"/>
              <w:left w:val="single" w:sz="8" w:space="0" w:color="16A34A"/>
              <w:bottom w:val="single" w:sz="8" w:space="0" w:color="16A34A"/>
              <w:right w:val="single" w:sz="8" w:space="0" w:color="16A34A"/>
            </w:tcBorders>
            <w:tcMar>
              <w:top w:w="70" w:type="dxa"/>
              <w:bottom w:w="70" w:type="dxa"/>
              <w:left w:w="90" w:type="dxa"/>
              <w:right w:w="90" w:type="dxa"/>
            </w:tcMar>
          </w:tcPr>
          <w:p>
            <w:pPr>
              <w:jc w:val="center"/>
            </w:pPr>
            <w:r/>
            <w:r>
              <w:rPr>
                <w:rFonts w:ascii="Times New Roman" w:hAnsi="Times New Roman"/>
                <w:b/>
                <w:color w:val="166534"/>
                <w:sz w:val="20"/>
              </w:rPr>
              <w:t>FORMAL AUDIT VERIFICATION DECLARATION: 42 / 42 APPLICATION TABLES DOCUMENTED</w:t>
              <w:br/>
            </w:r>
            <w:r>
              <w:rPr>
                <w:rFonts w:ascii="Times New Roman" w:hAnsi="Times New Roman"/>
                <w:color w:val="15803D"/>
                <w:sz w:val="17"/>
              </w:rPr>
              <w:t>All forty-two (42) public application tables and sixty-five (65) foreign key constraints identified in the authoritative Supabase audit have been rigorously mapped into process-oriented Entity Relationship Diagrams (Figures 8.1 through 8.8). Zero application tables were omitted. All standby, reference, and legacy entities are fully integrated and annotated in accordance with capstone research standards.</w:t>
            </w:r>
          </w:p>
        </w:tc>
      </w:tr>
    </w:tbl>
    <w:p>
      <w:r>
        <w:br w:type="page"/>
      </w:r>
    </w:p>
    <w:p>
      <w:pPr>
        <w:spacing w:before="240" w:after="80" w:line="276" w:lineRule="auto"/>
        <w:jc w:val="left"/>
      </w:pPr>
      <w:r>
        <w:rPr>
          <w:rFonts w:ascii="Times New Roman" w:hAnsi="Times New Roman"/>
          <w:b/>
          <w:i w:val="0"/>
          <w:color w:val="285587"/>
          <w:sz w:val="26"/>
        </w:rPr>
        <w:t>6. Database Integrity, Security &amp; Governance Architecture</w:t>
      </w:r>
    </w:p>
    <w:p>
      <w:pPr>
        <w:spacing w:before="40" w:after="80" w:line="276" w:lineRule="auto"/>
        <w:jc w:val="left"/>
      </w:pPr>
      <w:r>
        <w:rPr>
          <w:rFonts w:ascii="Times New Roman" w:hAnsi="Times New Roman"/>
          <w:b w:val="0"/>
          <w:i w:val="0"/>
          <w:color w:val="0F172A"/>
          <w:sz w:val="20"/>
        </w:rPr>
        <w:t>The Y-TRACE database enforces a multi-layered security and data integrity perimeter combining declarative SQL constraints, Row-Level Security (RLS) policies, database triggers, and PostgreSQL stored routines.</w:t>
      </w:r>
    </w:p>
    <w:p>
      <w:pPr>
        <w:spacing w:before="160" w:after="60" w:line="276" w:lineRule="auto"/>
        <w:jc w:val="left"/>
      </w:pPr>
      <w:r>
        <w:rPr>
          <w:rFonts w:ascii="Times New Roman" w:hAnsi="Times New Roman"/>
          <w:b/>
          <w:i w:val="0"/>
          <w:color w:val="1E293B"/>
          <w:sz w:val="23"/>
        </w:rPr>
        <w:t>6.1. Row-Level Security (RLS) Enforcement</w:t>
      </w:r>
    </w:p>
    <w:p>
      <w:pPr>
        <w:spacing w:before="40" w:after="80" w:line="276" w:lineRule="auto"/>
        <w:jc w:val="left"/>
      </w:pPr>
      <w:r>
        <w:rPr>
          <w:rFonts w:ascii="Times New Roman" w:hAnsi="Times New Roman"/>
          <w:b w:val="0"/>
          <w:i w:val="0"/>
          <w:color w:val="0F172A"/>
          <w:sz w:val="20"/>
        </w:rPr>
        <w:t>Every application table in the public schema has Row-Level Security actively enabled (ALTER TABLE ... ENABLE ROW LEVEL SECURITY). Fifty-eight (58) granular RLS policies govern SELECT, INSERT, UPDATE, and DELETE privileges based on JWT claims and administrative roles:</w:t>
        <w:br/>
        <w:t>• Organization Multi-Tenant Isolation: Youth organizations are restricted to viewing and mutating rows where organization_id matches their authenticated profile ID or where submitted_by equals auth.uid().</w:t>
        <w:br/>
        <w:t>• Administrative Supervisory Access: Authenticated staff accounts belonging to PCYDO administrative units possess elevated access privileges verified through role checking functions (is_admin(), is_super_admin()), allowing cross-organizational review, approval, and audit actions.</w:t>
        <w:br/>
        <w:t>• Public Read Policies: Tables supporting the public portal (news_releases, required_document_types, transparency_posts, programs, events) grant unrestricted SELECT access to anonymous and authenticated users when active flags are set to true.</w:t>
      </w:r>
    </w:p>
    <w:p>
      <w:pPr>
        <w:spacing w:before="160" w:after="60" w:line="276" w:lineRule="auto"/>
        <w:jc w:val="left"/>
      </w:pPr>
      <w:r>
        <w:rPr>
          <w:rFonts w:ascii="Times New Roman" w:hAnsi="Times New Roman"/>
          <w:b/>
          <w:i w:val="0"/>
          <w:color w:val="1E293B"/>
          <w:sz w:val="23"/>
        </w:rPr>
        <w:t>6.2. Database Triggers and Automation</w:t>
      </w:r>
    </w:p>
    <w:p>
      <w:pPr>
        <w:spacing w:before="40" w:after="80" w:line="276" w:lineRule="auto"/>
        <w:jc w:val="left"/>
      </w:pPr>
      <w:r>
        <w:rPr>
          <w:rFonts w:ascii="Times New Roman" w:hAnsi="Times New Roman"/>
          <w:b w:val="0"/>
          <w:i w:val="0"/>
          <w:color w:val="0F172A"/>
          <w:sz w:val="20"/>
        </w:rPr>
        <w:t>Thirty (30) PostgreSQL database triggers automate crucial audit and lifecycle behaviors:</w:t>
        <w:br/>
        <w:t>• Timestamp Synchronization: Triggers execute set_updated_at() BEFORE UPDATE on tables to maintain tamper-evident audit timestamps.</w:t>
        <w:br/>
        <w:t>• Administrative Action Logging: Triggers on budget_requests, document_submissions, and ypop_entries automatically write immutable entries to public.activity_logs whenever an approval status transition occurs.</w:t>
        <w:br/>
        <w:t>• Notification Dispatch: Status changes in grant requests or compliance evaluations fire asynchronous notification triggers, inserting targeted alerts into public.notifications for immediate user feedback.</w:t>
      </w:r>
    </w:p>
    <w:p>
      <w:pPr>
        <w:spacing w:before="160" w:after="60" w:line="276" w:lineRule="auto"/>
        <w:jc w:val="left"/>
      </w:pPr>
      <w:r>
        <w:rPr>
          <w:rFonts w:ascii="Times New Roman" w:hAnsi="Times New Roman"/>
          <w:b/>
          <w:i w:val="0"/>
          <w:color w:val="1E293B"/>
          <w:sz w:val="23"/>
        </w:rPr>
        <w:t>6.3. Stored Functions and Stored Procedures (RPCs)</w:t>
      </w:r>
    </w:p>
    <w:p>
      <w:pPr>
        <w:spacing w:before="40" w:after="80" w:line="276" w:lineRule="auto"/>
        <w:jc w:val="left"/>
      </w:pPr>
      <w:r>
        <w:rPr>
          <w:rFonts w:ascii="Times New Roman" w:hAnsi="Times New Roman"/>
          <w:b w:val="0"/>
          <w:i w:val="0"/>
          <w:color w:val="0F172A"/>
          <w:sz w:val="20"/>
        </w:rPr>
        <w:t>The database houses 120 custom stored functions and RPC endpoints executing business-critical calculations inside the PostgreSQL engine:</w:t>
        <w:br/>
        <w:t>• calculate_ypop_score(entry_id uuid): Aggregates attended city-led activity points, validates attendance proof, adds org-led PPA bonus percentage tiers, and determines whether the 70% threshold is satisfied.</w:t>
        <w:br/>
        <w:t>• get_my_organization_profile(): Secure RPC returning complete organizational metadata for the currently authenticated user session.</w:t>
        <w:br/>
        <w:t>• sync_admin_user(): Coordinates credentials between auth.users and public.admin_accounts for unified administrative lifecycle management.</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