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90585" w14:textId="77777777" w:rsidR="003C7408" w:rsidRPr="003C7408" w:rsidRDefault="003C7408" w:rsidP="003C7408">
      <w:pPr>
        <w:spacing w:after="6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b/>
          <w:bCs/>
          <w:sz w:val="28"/>
          <w:szCs w:val="28"/>
          <w:lang w:eastAsia="en-US"/>
        </w:rPr>
        <w:t>CS 4262 Project Update</w:t>
      </w:r>
    </w:p>
    <w:p w14:paraId="385585D3" w14:textId="77777777" w:rsidR="003C7408" w:rsidRPr="003C7408" w:rsidRDefault="003C7408" w:rsidP="003C7408">
      <w:pPr>
        <w:spacing w:after="6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i/>
          <w:iCs/>
          <w:sz w:val="22"/>
          <w:szCs w:val="22"/>
          <w:lang w:eastAsia="en-US"/>
        </w:rPr>
        <w:t>Early-Prediction of Harmful Algal Blooms (HABs) with Field Counts and Satellite Features</w:t>
      </w:r>
    </w:p>
    <w:p w14:paraId="43FBC692" w14:textId="77777777" w:rsidR="003C7408" w:rsidRPr="003C7408" w:rsidRDefault="003C7408" w:rsidP="003C7408">
      <w:pPr>
        <w:spacing w:after="24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 xml:space="preserve">Trevor Xing-Xie, Nirmay </w:t>
      </w:r>
      <w:proofErr w:type="spellStart"/>
      <w:r w:rsidRPr="003C7408">
        <w:rPr>
          <w:rFonts w:ascii="Times New Roman" w:eastAsia="Times New Roman" w:hAnsi="Times New Roman" w:cs="Times New Roman"/>
          <w:sz w:val="22"/>
          <w:szCs w:val="22"/>
          <w:lang w:eastAsia="en-US"/>
        </w:rPr>
        <w:t>Bhanderi</w:t>
      </w:r>
      <w:proofErr w:type="spellEnd"/>
      <w:r w:rsidRPr="003C7408">
        <w:rPr>
          <w:rFonts w:ascii="Times New Roman" w:eastAsia="Times New Roman" w:hAnsi="Times New Roman" w:cs="Times New Roman"/>
          <w:sz w:val="22"/>
          <w:szCs w:val="22"/>
          <w:lang w:eastAsia="en-US"/>
        </w:rPr>
        <w:t>, Connor Brugger</w:t>
      </w:r>
    </w:p>
    <w:p w14:paraId="2CFD9D7E" w14:textId="77777777" w:rsidR="003C7408" w:rsidRPr="003C7408" w:rsidRDefault="003C7408" w:rsidP="003C7408">
      <w:pPr>
        <w:spacing w:before="60" w:after="10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b/>
          <w:bCs/>
          <w:sz w:val="26"/>
          <w:szCs w:val="26"/>
          <w:u w:val="single"/>
          <w:lang w:eastAsia="en-US"/>
        </w:rPr>
        <w:t>Data Exploration</w:t>
      </w:r>
    </w:p>
    <w:p w14:paraId="188FA512" w14:textId="77777777" w:rsidR="003C7408" w:rsidRPr="003C7408" w:rsidRDefault="003C7408" w:rsidP="003C7408">
      <w:pPr>
        <w:spacing w:after="10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 xml:space="preserve">We downloaded the HABSOS dataset from NCEI, which contains K. brevis cell counts along the Florida Gulf Coast. After </w:t>
      </w:r>
      <w:proofErr w:type="gramStart"/>
      <w:r w:rsidRPr="003C7408">
        <w:rPr>
          <w:rFonts w:ascii="Times New Roman" w:eastAsia="Times New Roman" w:hAnsi="Times New Roman" w:cs="Times New Roman"/>
          <w:sz w:val="22"/>
          <w:szCs w:val="22"/>
          <w:lang w:eastAsia="en-US"/>
        </w:rPr>
        <w:t>filtering for</w:t>
      </w:r>
      <w:proofErr w:type="gramEnd"/>
      <w:r w:rsidRPr="003C7408">
        <w:rPr>
          <w:rFonts w:ascii="Times New Roman" w:eastAsia="Times New Roman" w:hAnsi="Times New Roman" w:cs="Times New Roman"/>
          <w:sz w:val="22"/>
          <w:szCs w:val="22"/>
          <w:lang w:eastAsia="en-US"/>
        </w:rPr>
        <w:t xml:space="preserve"> Florida and </w:t>
      </w:r>
      <w:proofErr w:type="spellStart"/>
      <w:r w:rsidRPr="003C7408">
        <w:rPr>
          <w:rFonts w:ascii="Times New Roman" w:eastAsia="Times New Roman" w:hAnsi="Times New Roman" w:cs="Times New Roman"/>
          <w:sz w:val="22"/>
          <w:szCs w:val="22"/>
          <w:lang w:eastAsia="en-US"/>
        </w:rPr>
        <w:t>Karenia</w:t>
      </w:r>
      <w:proofErr w:type="spellEnd"/>
      <w:r w:rsidRPr="003C7408">
        <w:rPr>
          <w:rFonts w:ascii="Times New Roman" w:eastAsia="Times New Roman" w:hAnsi="Times New Roman" w:cs="Times New Roman"/>
          <w:sz w:val="22"/>
          <w:szCs w:val="22"/>
          <w:lang w:eastAsia="en-US"/>
        </w:rPr>
        <w:t xml:space="preserve"> brevis and cleaning, we have about 205,000 observations from 1953 to 2024. We binned these into 0.25-degree coastal grid cells and aggregated to weekly time steps, giving us about 54,000 cell-week records across 498 grid cells.</w:t>
      </w:r>
    </w:p>
    <w:p w14:paraId="59BC6327" w14:textId="77777777" w:rsidR="003C7408" w:rsidRPr="003C7408" w:rsidRDefault="003C7408" w:rsidP="003C7408">
      <w:pPr>
        <w:spacing w:after="10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 xml:space="preserve">We defined </w:t>
      </w:r>
      <w:proofErr w:type="spellStart"/>
      <w:r w:rsidRPr="003C7408">
        <w:rPr>
          <w:rFonts w:ascii="Times New Roman" w:eastAsia="Times New Roman" w:hAnsi="Times New Roman" w:cs="Times New Roman"/>
          <w:sz w:val="22"/>
          <w:szCs w:val="22"/>
          <w:lang w:eastAsia="en-US"/>
        </w:rPr>
        <w:t>BloomNext</w:t>
      </w:r>
      <w:proofErr w:type="spellEnd"/>
      <w:r w:rsidRPr="003C7408">
        <w:rPr>
          <w:rFonts w:ascii="Times New Roman" w:eastAsia="Times New Roman" w:hAnsi="Times New Roman" w:cs="Times New Roman"/>
          <w:sz w:val="22"/>
          <w:szCs w:val="22"/>
          <w:lang w:eastAsia="en-US"/>
        </w:rPr>
        <w:t xml:space="preserve"> as a binary one-step-ahead label where </w:t>
      </w:r>
      <w:proofErr w:type="spellStart"/>
      <w:r w:rsidRPr="003C7408">
        <w:rPr>
          <w:rFonts w:ascii="Times New Roman" w:eastAsia="Times New Roman" w:hAnsi="Times New Roman" w:cs="Times New Roman"/>
          <w:sz w:val="22"/>
          <w:szCs w:val="22"/>
          <w:lang w:eastAsia="en-US"/>
        </w:rPr>
        <w:t>BloomNext</w:t>
      </w:r>
      <w:proofErr w:type="spellEnd"/>
      <w:r w:rsidRPr="003C7408">
        <w:rPr>
          <w:rFonts w:ascii="Times New Roman" w:eastAsia="Times New Roman" w:hAnsi="Times New Roman" w:cs="Times New Roman"/>
          <w:sz w:val="22"/>
          <w:szCs w:val="22"/>
          <w:lang w:eastAsia="en-US"/>
        </w:rPr>
        <w:t xml:space="preserve"> = 1 if the max cell count in a grid cell exceeds 100,000 cells/L in the next weekly observation. The positive rate is about 7.3%, so this is </w:t>
      </w:r>
      <w:proofErr w:type="gramStart"/>
      <w:r w:rsidRPr="003C7408">
        <w:rPr>
          <w:rFonts w:ascii="Times New Roman" w:eastAsia="Times New Roman" w:hAnsi="Times New Roman" w:cs="Times New Roman"/>
          <w:sz w:val="22"/>
          <w:szCs w:val="22"/>
          <w:lang w:eastAsia="en-US"/>
        </w:rPr>
        <w:t>a fairly imbalanced</w:t>
      </w:r>
      <w:proofErr w:type="gramEnd"/>
      <w:r w:rsidRPr="003C7408">
        <w:rPr>
          <w:rFonts w:ascii="Times New Roman" w:eastAsia="Times New Roman" w:hAnsi="Times New Roman" w:cs="Times New Roman"/>
          <w:sz w:val="22"/>
          <w:szCs w:val="22"/>
          <w:lang w:eastAsia="en-US"/>
        </w:rPr>
        <w:t xml:space="preserve"> problem. We built 10 features from the field data: current and previous week log cell counts and bloom indicators, rolling 4-week statistics, week-over-week change, and field-measured water temperature. The final feature set has about 52,000 samples after requiring 4 weeks of history.</w:t>
      </w:r>
    </w:p>
    <w:p w14:paraId="2B34B12D" w14:textId="77777777" w:rsidR="003C7408" w:rsidRPr="003C7408" w:rsidRDefault="003C7408" w:rsidP="003C7408">
      <w:pPr>
        <w:spacing w:before="120" w:after="4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noProof/>
          <w:sz w:val="22"/>
          <w:szCs w:val="22"/>
          <w:lang w:eastAsia="en-US"/>
        </w:rPr>
        <w:drawing>
          <wp:inline distT="0" distB="0" distL="0" distR="0" wp14:anchorId="1187DAF3" wp14:editId="23E7658F">
            <wp:extent cx="6096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1524000"/>
                    </a:xfrm>
                    <a:prstGeom prst="rect">
                      <a:avLst/>
                    </a:prstGeom>
                  </pic:spPr>
                </pic:pic>
              </a:graphicData>
            </a:graphic>
          </wp:inline>
        </w:drawing>
      </w:r>
    </w:p>
    <w:p w14:paraId="1F7DD54E" w14:textId="77777777" w:rsidR="003C7408" w:rsidRPr="003C7408" w:rsidRDefault="003C7408" w:rsidP="003C7408">
      <w:pPr>
        <w:spacing w:after="14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i/>
          <w:iCs/>
          <w:sz w:val="19"/>
          <w:szCs w:val="19"/>
          <w:lang w:eastAsia="en-US"/>
        </w:rPr>
        <w:t>Figure 1: (Left) Annual bloom rate. (Center) Distribution of log cell counts with bloom threshold. (Right) Class balance.</w:t>
      </w:r>
    </w:p>
    <w:p w14:paraId="396CCF87" w14:textId="77777777" w:rsidR="003C7408" w:rsidRPr="003C7408" w:rsidRDefault="003C7408" w:rsidP="003C7408">
      <w:pPr>
        <w:spacing w:before="60" w:after="10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b/>
          <w:bCs/>
          <w:sz w:val="26"/>
          <w:szCs w:val="26"/>
          <w:u w:val="single"/>
          <w:lang w:eastAsia="en-US"/>
        </w:rPr>
        <w:t>Preliminary Results</w:t>
      </w:r>
    </w:p>
    <w:p w14:paraId="1E623EBE" w14:textId="77777777" w:rsidR="003C7408" w:rsidRPr="003C7408" w:rsidRDefault="003C7408" w:rsidP="003C7408">
      <w:pPr>
        <w:spacing w:after="10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We split by time, training on 1954-2022 and testing on 2023-2024. We compared logistic regression, decision trees, SVMs (linear and RBF kernels), and gradient boosting, with class weighting to handle the imbalance.</w:t>
      </w:r>
    </w:p>
    <w:tbl>
      <w:tblPr>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tblGrid>
      <w:tr w:rsidR="003C7408" w:rsidRPr="003C7408" w14:paraId="6E164930" w14:textId="77777777" w:rsidTr="00F71AA0">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50" w:type="dxa"/>
              <w:left w:w="100" w:type="dxa"/>
              <w:bottom w:w="50" w:type="dxa"/>
              <w:right w:w="100" w:type="dxa"/>
            </w:tcMar>
          </w:tcPr>
          <w:p w14:paraId="3A0DCA8D"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b/>
                <w:bCs/>
                <w:sz w:val="22"/>
                <w:szCs w:val="22"/>
                <w:lang w:eastAsia="en-US"/>
              </w:rPr>
              <w:t>Model</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50" w:type="dxa"/>
              <w:left w:w="100" w:type="dxa"/>
              <w:bottom w:w="50" w:type="dxa"/>
              <w:right w:w="100" w:type="dxa"/>
            </w:tcMar>
          </w:tcPr>
          <w:p w14:paraId="3E2060A9"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b/>
                <w:bCs/>
                <w:sz w:val="22"/>
                <w:szCs w:val="22"/>
                <w:lang w:eastAsia="en-US"/>
              </w:rPr>
              <w:t>PR-AUC</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50" w:type="dxa"/>
              <w:left w:w="100" w:type="dxa"/>
              <w:bottom w:w="50" w:type="dxa"/>
              <w:right w:w="100" w:type="dxa"/>
            </w:tcMar>
          </w:tcPr>
          <w:p w14:paraId="7B28FA46"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b/>
                <w:bCs/>
                <w:sz w:val="22"/>
                <w:szCs w:val="22"/>
                <w:lang w:eastAsia="en-US"/>
              </w:rPr>
              <w:t>F1</w:t>
            </w:r>
          </w:p>
        </w:tc>
      </w:tr>
      <w:tr w:rsidR="003C7408" w:rsidRPr="003C7408" w14:paraId="275FE051" w14:textId="77777777" w:rsidTr="00F71AA0">
        <w:tc>
          <w:tcPr>
            <w:tcW w:w="28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680296B8" w14:textId="77777777" w:rsidR="003C7408" w:rsidRPr="003C7408" w:rsidRDefault="003C7408" w:rsidP="003C7408">
            <w:pPr>
              <w:spacing w:after="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SVM (Linear)</w:t>
            </w:r>
          </w:p>
        </w:tc>
        <w:tc>
          <w:tcPr>
            <w:tcW w:w="14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65CFA6B"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0.493</w:t>
            </w:r>
          </w:p>
        </w:tc>
        <w:tc>
          <w:tcPr>
            <w:tcW w:w="14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7FFB216"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0.354</w:t>
            </w:r>
          </w:p>
        </w:tc>
      </w:tr>
      <w:tr w:rsidR="003C7408" w:rsidRPr="003C7408" w14:paraId="64D1140C" w14:textId="77777777" w:rsidTr="00F71AA0">
        <w:tc>
          <w:tcPr>
            <w:tcW w:w="28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42D53AD" w14:textId="77777777" w:rsidR="003C7408" w:rsidRPr="003C7408" w:rsidRDefault="003C7408" w:rsidP="003C7408">
            <w:pPr>
              <w:spacing w:after="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Gradient Boosting</w:t>
            </w:r>
          </w:p>
        </w:tc>
        <w:tc>
          <w:tcPr>
            <w:tcW w:w="14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9EFDBED"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0.478</w:t>
            </w:r>
          </w:p>
        </w:tc>
        <w:tc>
          <w:tcPr>
            <w:tcW w:w="14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01D50944"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0.472</w:t>
            </w:r>
          </w:p>
        </w:tc>
      </w:tr>
      <w:tr w:rsidR="003C7408" w:rsidRPr="003C7408" w14:paraId="14AC2DA2" w14:textId="77777777" w:rsidTr="00F71AA0">
        <w:tc>
          <w:tcPr>
            <w:tcW w:w="28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3FAFFDB" w14:textId="77777777" w:rsidR="003C7408" w:rsidRPr="003C7408" w:rsidRDefault="003C7408" w:rsidP="003C7408">
            <w:pPr>
              <w:spacing w:after="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Decision Tree</w:t>
            </w:r>
          </w:p>
        </w:tc>
        <w:tc>
          <w:tcPr>
            <w:tcW w:w="14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0F3649D5"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0.476</w:t>
            </w:r>
          </w:p>
        </w:tc>
        <w:tc>
          <w:tcPr>
            <w:tcW w:w="14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30BB189E"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0.393</w:t>
            </w:r>
          </w:p>
        </w:tc>
      </w:tr>
      <w:tr w:rsidR="003C7408" w:rsidRPr="003C7408" w14:paraId="76DFC6C8" w14:textId="77777777" w:rsidTr="00F71AA0">
        <w:tc>
          <w:tcPr>
            <w:tcW w:w="28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C5F573A" w14:textId="77777777" w:rsidR="003C7408" w:rsidRPr="003C7408" w:rsidRDefault="003C7408" w:rsidP="003C7408">
            <w:pPr>
              <w:spacing w:after="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Logistic Regression</w:t>
            </w:r>
          </w:p>
        </w:tc>
        <w:tc>
          <w:tcPr>
            <w:tcW w:w="14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60A20876"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0.473</w:t>
            </w:r>
          </w:p>
        </w:tc>
        <w:tc>
          <w:tcPr>
            <w:tcW w:w="14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32B8024"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0.401</w:t>
            </w:r>
          </w:p>
        </w:tc>
      </w:tr>
      <w:tr w:rsidR="003C7408" w:rsidRPr="003C7408" w14:paraId="33EE9031" w14:textId="77777777" w:rsidTr="00F71AA0">
        <w:tc>
          <w:tcPr>
            <w:tcW w:w="28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01D9E178" w14:textId="77777777" w:rsidR="003C7408" w:rsidRPr="003C7408" w:rsidRDefault="003C7408" w:rsidP="003C7408">
            <w:pPr>
              <w:spacing w:after="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SVM (RBF)</w:t>
            </w:r>
          </w:p>
        </w:tc>
        <w:tc>
          <w:tcPr>
            <w:tcW w:w="14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1EAB60FC"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0.313</w:t>
            </w:r>
          </w:p>
        </w:tc>
        <w:tc>
          <w:tcPr>
            <w:tcW w:w="14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FB4535B" w14:textId="77777777" w:rsidR="003C7408" w:rsidRPr="003C7408" w:rsidRDefault="003C7408" w:rsidP="003C7408">
            <w:pPr>
              <w:spacing w:after="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0.437</w:t>
            </w:r>
          </w:p>
        </w:tc>
      </w:tr>
    </w:tbl>
    <w:p w14:paraId="621E823D" w14:textId="77777777" w:rsidR="003C7408" w:rsidRPr="003C7408" w:rsidRDefault="003C7408" w:rsidP="003C7408">
      <w:pPr>
        <w:spacing w:after="100" w:line="240" w:lineRule="auto"/>
        <w:rPr>
          <w:rFonts w:ascii="Times New Roman" w:eastAsia="Times New Roman" w:hAnsi="Times New Roman" w:cs="Times New Roman"/>
          <w:sz w:val="22"/>
          <w:szCs w:val="22"/>
          <w:lang w:eastAsia="en-US"/>
        </w:rPr>
      </w:pPr>
    </w:p>
    <w:p w14:paraId="47774137" w14:textId="77777777" w:rsidR="003C7408" w:rsidRPr="003C7408" w:rsidRDefault="003C7408" w:rsidP="003C7408">
      <w:pPr>
        <w:spacing w:after="10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The linear SVM had the best PR-AUC while gradient boosting had the best F1 and highest precision. The RBF kernel SVM did worse than the linear one, which suggests the current engineered feature space may already capture much of the useful signal without requiring a more complex nonlinear boundary.</w:t>
      </w:r>
    </w:p>
    <w:p w14:paraId="450DB9C4" w14:textId="77777777" w:rsidR="003C7408" w:rsidRPr="003C7408" w:rsidRDefault="003C7408" w:rsidP="003C7408">
      <w:pPr>
        <w:spacing w:before="120" w:after="4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noProof/>
          <w:sz w:val="22"/>
          <w:szCs w:val="22"/>
          <w:lang w:eastAsia="en-US"/>
        </w:rPr>
        <w:lastRenderedPageBreak/>
        <w:drawing>
          <wp:inline distT="0" distB="0" distL="0" distR="0" wp14:anchorId="7F2FEB26" wp14:editId="6C5D0697">
            <wp:extent cx="4191000" cy="3143250"/>
            <wp:effectExtent l="0" t="0" r="0" b="0"/>
            <wp:docPr id="1009607424" name="Picture 100960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3143250"/>
                    </a:xfrm>
                    <a:prstGeom prst="rect">
                      <a:avLst/>
                    </a:prstGeom>
                  </pic:spPr>
                </pic:pic>
              </a:graphicData>
            </a:graphic>
          </wp:inline>
        </w:drawing>
      </w:r>
    </w:p>
    <w:p w14:paraId="3A9C656D" w14:textId="77777777" w:rsidR="003C7408" w:rsidRPr="003C7408" w:rsidRDefault="003C7408" w:rsidP="003C7408">
      <w:pPr>
        <w:spacing w:after="140" w:line="240" w:lineRule="auto"/>
        <w:jc w:val="center"/>
        <w:rPr>
          <w:rFonts w:ascii="Times New Roman" w:eastAsia="Times New Roman" w:hAnsi="Times New Roman" w:cs="Times New Roman"/>
          <w:sz w:val="22"/>
          <w:szCs w:val="22"/>
          <w:lang w:eastAsia="en-US"/>
        </w:rPr>
      </w:pPr>
      <w:r w:rsidRPr="003C7408">
        <w:rPr>
          <w:rFonts w:ascii="Times New Roman" w:eastAsia="Times New Roman" w:hAnsi="Times New Roman" w:cs="Times New Roman"/>
          <w:i/>
          <w:iCs/>
          <w:sz w:val="19"/>
          <w:szCs w:val="19"/>
          <w:lang w:eastAsia="en-US"/>
        </w:rPr>
        <w:t>Figure 2: Precision-recall curves for all five models.</w:t>
      </w:r>
    </w:p>
    <w:p w14:paraId="1CEBDC8B" w14:textId="77777777" w:rsidR="003C7408" w:rsidRPr="003C7408" w:rsidRDefault="003C7408" w:rsidP="003C7408">
      <w:pPr>
        <w:spacing w:before="60" w:after="10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b/>
          <w:bCs/>
          <w:sz w:val="26"/>
          <w:szCs w:val="26"/>
          <w:u w:val="single"/>
          <w:lang w:eastAsia="en-US"/>
        </w:rPr>
        <w:t>Teamwork</w:t>
      </w:r>
    </w:p>
    <w:p w14:paraId="1F788116" w14:textId="77777777" w:rsidR="003C7408" w:rsidRPr="003C7408" w:rsidRDefault="003C7408" w:rsidP="003C7408">
      <w:pPr>
        <w:spacing w:after="10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Trevor handled data acquisition and initial inspection. Nirmay worked on feature engineering and visualization. Connor built the training pipeline and ran model comparisons. We have been meeting regularly and sharing code.</w:t>
      </w:r>
    </w:p>
    <w:p w14:paraId="6CFCF27F" w14:textId="77777777" w:rsidR="003C7408" w:rsidRPr="003C7408" w:rsidRDefault="003C7408" w:rsidP="003C7408">
      <w:pPr>
        <w:spacing w:before="60" w:after="10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b/>
          <w:bCs/>
          <w:sz w:val="26"/>
          <w:szCs w:val="26"/>
          <w:u w:val="single"/>
          <w:lang w:eastAsia="en-US"/>
        </w:rPr>
        <w:t>Next Steps</w:t>
      </w:r>
    </w:p>
    <w:p w14:paraId="3EEFD33F" w14:textId="77777777" w:rsidR="003C7408" w:rsidRPr="003C7408" w:rsidRDefault="003C7408" w:rsidP="003C7408">
      <w:pPr>
        <w:spacing w:after="100" w:line="240" w:lineRule="auto"/>
        <w:rPr>
          <w:rFonts w:ascii="Times New Roman" w:eastAsia="Times New Roman" w:hAnsi="Times New Roman" w:cs="Times New Roman"/>
          <w:sz w:val="22"/>
          <w:szCs w:val="22"/>
          <w:lang w:eastAsia="en-US"/>
        </w:rPr>
      </w:pPr>
      <w:r w:rsidRPr="003C7408">
        <w:rPr>
          <w:rFonts w:ascii="Times New Roman" w:eastAsia="Times New Roman" w:hAnsi="Times New Roman" w:cs="Times New Roman"/>
          <w:sz w:val="22"/>
          <w:szCs w:val="22"/>
          <w:lang w:eastAsia="en-US"/>
        </w:rPr>
        <w:t xml:space="preserve">We plan to add NASA MODIS satellite features (sea surface temperature, chlorophyll-a) and spatial neighborhood features. We also want to tune hyperparameters with cross-validation and explore feature selection. If the feature set gets </w:t>
      </w:r>
      <w:proofErr w:type="gramStart"/>
      <w:r w:rsidRPr="003C7408">
        <w:rPr>
          <w:rFonts w:ascii="Times New Roman" w:eastAsia="Times New Roman" w:hAnsi="Times New Roman" w:cs="Times New Roman"/>
          <w:sz w:val="22"/>
          <w:szCs w:val="22"/>
          <w:lang w:eastAsia="en-US"/>
        </w:rPr>
        <w:t>large</w:t>
      </w:r>
      <w:proofErr w:type="gramEnd"/>
      <w:r w:rsidRPr="003C7408">
        <w:rPr>
          <w:rFonts w:ascii="Times New Roman" w:eastAsia="Times New Roman" w:hAnsi="Times New Roman" w:cs="Times New Roman"/>
          <w:sz w:val="22"/>
          <w:szCs w:val="22"/>
          <w:lang w:eastAsia="en-US"/>
        </w:rPr>
        <w:t xml:space="preserve"> we may try PCA for dimensionality reduction. We might also try a regression target (predicting log cell count) instead of just binary classification. So far, this update reflects a baseline model built primarily from HABSOS field observations, with satellite-derived features planned for the next phase.</w:t>
      </w:r>
    </w:p>
    <w:p w14:paraId="52A1AD4A" w14:textId="20414089" w:rsidR="00380F53" w:rsidRPr="00380F53" w:rsidRDefault="00380F53" w:rsidP="00380F53">
      <w:pPr>
        <w:spacing w:before="60" w:after="80" w:line="240" w:lineRule="auto"/>
        <w:rPr>
          <w:rFonts w:ascii="Times New Roman" w:eastAsia="Times New Roman" w:hAnsi="Times New Roman" w:cs="Times New Roman"/>
          <w:sz w:val="22"/>
          <w:szCs w:val="22"/>
          <w:lang w:eastAsia="en-US"/>
        </w:rPr>
      </w:pPr>
      <w:r w:rsidRPr="00380F53">
        <w:rPr>
          <w:rFonts w:ascii="Times New Roman" w:eastAsia="Times New Roman" w:hAnsi="Times New Roman" w:cs="Times New Roman"/>
          <w:b/>
          <w:sz w:val="26"/>
          <w:szCs w:val="26"/>
          <w:u w:val="single"/>
        </w:rPr>
        <w:t>References</w:t>
      </w:r>
    </w:p>
    <w:p w14:paraId="54E4AA16" w14:textId="4BC663FB" w:rsidR="45C1612B" w:rsidRPr="00BA2C6E" w:rsidRDefault="00BA2C6E" w:rsidP="00380F53">
      <w:pPr>
        <w:spacing w:after="40" w:line="240" w:lineRule="auto"/>
        <w:rPr>
          <w:rFonts w:ascii="Times New Roman" w:eastAsia="Times New Roman" w:hAnsi="Times New Roman" w:cs="Times New Roman"/>
          <w:sz w:val="20"/>
          <w:szCs w:val="20"/>
          <w:lang w:eastAsia="en-US"/>
        </w:rPr>
      </w:pPr>
      <w:r w:rsidRPr="00BA2C6E">
        <w:rPr>
          <w:rFonts w:ascii="Times New Roman" w:eastAsia="Times New Roman" w:hAnsi="Times New Roman" w:cs="Times New Roman"/>
          <w:sz w:val="20"/>
          <w:szCs w:val="20"/>
          <w:lang w:eastAsia="en-US"/>
        </w:rPr>
        <w:t>Blumenfeld, Josh. “Applying Machine Learning to Harmful Algal Blooms | NASA </w:t>
      </w:r>
      <w:proofErr w:type="spellStart"/>
      <w:r w:rsidRPr="00BA2C6E">
        <w:rPr>
          <w:rFonts w:ascii="Times New Roman" w:eastAsia="Times New Roman" w:hAnsi="Times New Roman" w:cs="Times New Roman"/>
          <w:sz w:val="20"/>
          <w:szCs w:val="20"/>
          <w:lang w:eastAsia="en-US"/>
        </w:rPr>
        <w:t>Earthdata</w:t>
      </w:r>
      <w:proofErr w:type="spellEnd"/>
      <w:r w:rsidRPr="00BA2C6E">
        <w:rPr>
          <w:rFonts w:ascii="Times New Roman" w:eastAsia="Times New Roman" w:hAnsi="Times New Roman" w:cs="Times New Roman"/>
          <w:sz w:val="20"/>
          <w:szCs w:val="20"/>
          <w:lang w:eastAsia="en-US"/>
        </w:rPr>
        <w:t>.” NASA </w:t>
      </w:r>
      <w:proofErr w:type="spellStart"/>
      <w:r w:rsidRPr="00BA2C6E">
        <w:rPr>
          <w:rFonts w:ascii="Times New Roman" w:eastAsia="Times New Roman" w:hAnsi="Times New Roman" w:cs="Times New Roman"/>
          <w:sz w:val="20"/>
          <w:szCs w:val="20"/>
          <w:lang w:eastAsia="en-US"/>
        </w:rPr>
        <w:t>Earthdata</w:t>
      </w:r>
      <w:proofErr w:type="spellEnd"/>
      <w:r w:rsidRPr="00BA2C6E">
        <w:rPr>
          <w:rFonts w:ascii="Times New Roman" w:eastAsia="Times New Roman" w:hAnsi="Times New Roman" w:cs="Times New Roman"/>
          <w:sz w:val="20"/>
          <w:szCs w:val="20"/>
          <w:lang w:eastAsia="en-US"/>
        </w:rPr>
        <w:t>, 13 Feb. 2024, </w:t>
      </w:r>
      <w:hyperlink r:id="rId7" w:tgtFrame="_blank" w:history="1">
        <w:r w:rsidRPr="00BA2C6E">
          <w:rPr>
            <w:rStyle w:val="Hyperlink"/>
            <w:rFonts w:ascii="Times New Roman" w:eastAsia="Times New Roman" w:hAnsi="Times New Roman" w:cs="Times New Roman"/>
            <w:sz w:val="20"/>
            <w:szCs w:val="20"/>
            <w:lang w:eastAsia="en-US"/>
          </w:rPr>
          <w:t>www.earthdata.nasa.gov/news/blog/applying-machine-learning-harmful-algal-blooms</w:t>
        </w:r>
      </w:hyperlink>
      <w:r w:rsidRPr="00BA2C6E">
        <w:rPr>
          <w:rFonts w:ascii="Times New Roman" w:eastAsia="Times New Roman" w:hAnsi="Times New Roman" w:cs="Times New Roman"/>
          <w:sz w:val="20"/>
          <w:szCs w:val="20"/>
          <w:lang w:eastAsia="en-US"/>
        </w:rPr>
        <w:t>. </w:t>
      </w:r>
      <w:r w:rsidRPr="00BA2C6E">
        <w:rPr>
          <w:rFonts w:ascii="Times New Roman" w:eastAsia="Times New Roman" w:hAnsi="Times New Roman" w:cs="Times New Roman"/>
          <w:sz w:val="20"/>
          <w:szCs w:val="20"/>
          <w:lang w:eastAsia="en-US"/>
        </w:rPr>
        <w:br/>
        <w:t>“Harmful Algal </w:t>
      </w:r>
      <w:proofErr w:type="spellStart"/>
      <w:r w:rsidRPr="00BA2C6E">
        <w:rPr>
          <w:rFonts w:ascii="Times New Roman" w:eastAsia="Times New Roman" w:hAnsi="Times New Roman" w:cs="Times New Roman"/>
          <w:sz w:val="20"/>
          <w:szCs w:val="20"/>
          <w:lang w:eastAsia="en-US"/>
        </w:rPr>
        <w:t>BloomS</w:t>
      </w:r>
      <w:proofErr w:type="spellEnd"/>
      <w:r w:rsidRPr="00BA2C6E">
        <w:rPr>
          <w:rFonts w:ascii="Times New Roman" w:eastAsia="Times New Roman" w:hAnsi="Times New Roman" w:cs="Times New Roman"/>
          <w:sz w:val="20"/>
          <w:szCs w:val="20"/>
          <w:lang w:eastAsia="en-US"/>
        </w:rPr>
        <w:t> Observing System (HABSOS).” National Centers for Environmental Information (NCEI), 15 Oct. 2020, </w:t>
      </w:r>
      <w:hyperlink r:id="rId8" w:tgtFrame="_blank" w:history="1">
        <w:r w:rsidRPr="00BA2C6E">
          <w:rPr>
            <w:rStyle w:val="Hyperlink"/>
            <w:rFonts w:ascii="Times New Roman" w:eastAsia="Times New Roman" w:hAnsi="Times New Roman" w:cs="Times New Roman"/>
            <w:sz w:val="20"/>
            <w:szCs w:val="20"/>
            <w:lang w:eastAsia="en-US"/>
          </w:rPr>
          <w:t>www.ncei.noaa.gov/products/harmful-algal-blooms-observing-system</w:t>
        </w:r>
      </w:hyperlink>
      <w:r w:rsidRPr="00BA2C6E">
        <w:rPr>
          <w:rFonts w:ascii="Times New Roman" w:eastAsia="Times New Roman" w:hAnsi="Times New Roman" w:cs="Times New Roman"/>
          <w:sz w:val="20"/>
          <w:szCs w:val="20"/>
          <w:lang w:eastAsia="en-US"/>
        </w:rPr>
        <w:t>. </w:t>
      </w:r>
    </w:p>
    <w:sectPr w:rsidR="45C1612B" w:rsidRPr="00BA2C6E" w:rsidSect="00380F5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6DFAA"/>
    <w:multiLevelType w:val="hybridMultilevel"/>
    <w:tmpl w:val="6DC82B4C"/>
    <w:lvl w:ilvl="0" w:tplc="8A64BD74">
      <w:start w:val="1"/>
      <w:numFmt w:val="bullet"/>
      <w:lvlText w:val=""/>
      <w:lvlJc w:val="left"/>
      <w:pPr>
        <w:ind w:left="720" w:hanging="360"/>
      </w:pPr>
      <w:rPr>
        <w:rFonts w:ascii="Symbol" w:hAnsi="Symbol" w:hint="default"/>
      </w:rPr>
    </w:lvl>
    <w:lvl w:ilvl="1" w:tplc="952EA8B6">
      <w:start w:val="1"/>
      <w:numFmt w:val="bullet"/>
      <w:lvlText w:val="o"/>
      <w:lvlJc w:val="left"/>
      <w:pPr>
        <w:ind w:left="1440" w:hanging="360"/>
      </w:pPr>
      <w:rPr>
        <w:rFonts w:ascii="Courier New" w:hAnsi="Courier New" w:hint="default"/>
      </w:rPr>
    </w:lvl>
    <w:lvl w:ilvl="2" w:tplc="CCAA323A">
      <w:start w:val="1"/>
      <w:numFmt w:val="bullet"/>
      <w:lvlText w:val=""/>
      <w:lvlJc w:val="left"/>
      <w:pPr>
        <w:ind w:left="2160" w:hanging="360"/>
      </w:pPr>
      <w:rPr>
        <w:rFonts w:ascii="Wingdings" w:hAnsi="Wingdings" w:hint="default"/>
      </w:rPr>
    </w:lvl>
    <w:lvl w:ilvl="3" w:tplc="4D0A126C">
      <w:start w:val="1"/>
      <w:numFmt w:val="bullet"/>
      <w:lvlText w:val=""/>
      <w:lvlJc w:val="left"/>
      <w:pPr>
        <w:ind w:left="2880" w:hanging="360"/>
      </w:pPr>
      <w:rPr>
        <w:rFonts w:ascii="Symbol" w:hAnsi="Symbol" w:hint="default"/>
      </w:rPr>
    </w:lvl>
    <w:lvl w:ilvl="4" w:tplc="11567808">
      <w:start w:val="1"/>
      <w:numFmt w:val="bullet"/>
      <w:lvlText w:val="o"/>
      <w:lvlJc w:val="left"/>
      <w:pPr>
        <w:ind w:left="3600" w:hanging="360"/>
      </w:pPr>
      <w:rPr>
        <w:rFonts w:ascii="Courier New" w:hAnsi="Courier New" w:hint="default"/>
      </w:rPr>
    </w:lvl>
    <w:lvl w:ilvl="5" w:tplc="54826784">
      <w:start w:val="1"/>
      <w:numFmt w:val="bullet"/>
      <w:lvlText w:val=""/>
      <w:lvlJc w:val="left"/>
      <w:pPr>
        <w:ind w:left="4320" w:hanging="360"/>
      </w:pPr>
      <w:rPr>
        <w:rFonts w:ascii="Wingdings" w:hAnsi="Wingdings" w:hint="default"/>
      </w:rPr>
    </w:lvl>
    <w:lvl w:ilvl="6" w:tplc="AFB2D41A">
      <w:start w:val="1"/>
      <w:numFmt w:val="bullet"/>
      <w:lvlText w:val=""/>
      <w:lvlJc w:val="left"/>
      <w:pPr>
        <w:ind w:left="5040" w:hanging="360"/>
      </w:pPr>
      <w:rPr>
        <w:rFonts w:ascii="Symbol" w:hAnsi="Symbol" w:hint="default"/>
      </w:rPr>
    </w:lvl>
    <w:lvl w:ilvl="7" w:tplc="9F5AC9BE">
      <w:start w:val="1"/>
      <w:numFmt w:val="bullet"/>
      <w:lvlText w:val="o"/>
      <w:lvlJc w:val="left"/>
      <w:pPr>
        <w:ind w:left="5760" w:hanging="360"/>
      </w:pPr>
      <w:rPr>
        <w:rFonts w:ascii="Courier New" w:hAnsi="Courier New" w:hint="default"/>
      </w:rPr>
    </w:lvl>
    <w:lvl w:ilvl="8" w:tplc="2A6CD7D0">
      <w:start w:val="1"/>
      <w:numFmt w:val="bullet"/>
      <w:lvlText w:val=""/>
      <w:lvlJc w:val="left"/>
      <w:pPr>
        <w:ind w:left="6480" w:hanging="360"/>
      </w:pPr>
      <w:rPr>
        <w:rFonts w:ascii="Wingdings" w:hAnsi="Wingdings" w:hint="default"/>
      </w:rPr>
    </w:lvl>
  </w:abstractNum>
  <w:num w:numId="1" w16cid:durableId="35003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366005"/>
    <w:rsid w:val="0000304C"/>
    <w:rsid w:val="000409EC"/>
    <w:rsid w:val="00042E92"/>
    <w:rsid w:val="000D7FD3"/>
    <w:rsid w:val="00124F9D"/>
    <w:rsid w:val="00127E41"/>
    <w:rsid w:val="00247771"/>
    <w:rsid w:val="00380F53"/>
    <w:rsid w:val="003C7408"/>
    <w:rsid w:val="003D6857"/>
    <w:rsid w:val="00456800"/>
    <w:rsid w:val="004A15A9"/>
    <w:rsid w:val="004D2854"/>
    <w:rsid w:val="005855E2"/>
    <w:rsid w:val="0062029A"/>
    <w:rsid w:val="00626869"/>
    <w:rsid w:val="007F2202"/>
    <w:rsid w:val="00854145"/>
    <w:rsid w:val="00857FEA"/>
    <w:rsid w:val="0087545C"/>
    <w:rsid w:val="00A93C92"/>
    <w:rsid w:val="00A96DB1"/>
    <w:rsid w:val="00B116B3"/>
    <w:rsid w:val="00B34D70"/>
    <w:rsid w:val="00BA2C6E"/>
    <w:rsid w:val="00CE1799"/>
    <w:rsid w:val="00CF65CC"/>
    <w:rsid w:val="00D025A4"/>
    <w:rsid w:val="00D21ABD"/>
    <w:rsid w:val="00EB7291"/>
    <w:rsid w:val="00F02ECD"/>
    <w:rsid w:val="06EAA242"/>
    <w:rsid w:val="07D4C9CF"/>
    <w:rsid w:val="093DBC42"/>
    <w:rsid w:val="11AF5A56"/>
    <w:rsid w:val="2EB93577"/>
    <w:rsid w:val="31E3BC52"/>
    <w:rsid w:val="35D9F3AB"/>
    <w:rsid w:val="401379B2"/>
    <w:rsid w:val="4562E5AE"/>
    <w:rsid w:val="45C1612B"/>
    <w:rsid w:val="4C6D74AD"/>
    <w:rsid w:val="50E6215F"/>
    <w:rsid w:val="553131F2"/>
    <w:rsid w:val="72AE4FC8"/>
    <w:rsid w:val="74B5FF62"/>
    <w:rsid w:val="75366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6005"/>
  <w15:chartTrackingRefBased/>
  <w15:docId w15:val="{73A05CB3-B21E-42CA-A5F3-2EF18687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C6D74AD"/>
    <w:pPr>
      <w:ind w:left="720"/>
      <w:contextualSpacing/>
    </w:pPr>
  </w:style>
  <w:style w:type="character" w:styleId="Hyperlink">
    <w:name w:val="Hyperlink"/>
    <w:basedOn w:val="DefaultParagraphFont"/>
    <w:uiPriority w:val="99"/>
    <w:unhideWhenUsed/>
    <w:rsid w:val="4C6D74A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BA2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ei.noaa.gov/products/harmful-algal-blooms-observing-system" TargetMode="External"/><Relationship Id="rId3" Type="http://schemas.openxmlformats.org/officeDocument/2006/relationships/settings" Target="settings.xml"/><Relationship Id="rId7" Type="http://schemas.openxmlformats.org/officeDocument/2006/relationships/hyperlink" Target="https://www.earthdata.nasa.gov/news/blog/applying-machine-learning-harmful-algal-bloo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Template>
  <TotalTime>70</TotalTime>
  <Pages>2</Pages>
  <Words>447</Words>
  <Characters>2672</Characters>
  <Application>Microsoft Office Word</Application>
  <DocSecurity>0</DocSecurity>
  <Lines>56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Links>
    <vt:vector size="12" baseType="variant">
      <vt:variant>
        <vt:i4>4194378</vt:i4>
      </vt:variant>
      <vt:variant>
        <vt:i4>3</vt:i4>
      </vt:variant>
      <vt:variant>
        <vt:i4>0</vt:i4>
      </vt:variant>
      <vt:variant>
        <vt:i4>5</vt:i4>
      </vt:variant>
      <vt:variant>
        <vt:lpwstr>https://www.ncei.noaa.gov/products/harmful-algal-blooms-observing-system</vt:lpwstr>
      </vt:variant>
      <vt:variant>
        <vt:lpwstr/>
      </vt:variant>
      <vt:variant>
        <vt:i4>2949183</vt:i4>
      </vt:variant>
      <vt:variant>
        <vt:i4>0</vt:i4>
      </vt:variant>
      <vt:variant>
        <vt:i4>0</vt:i4>
      </vt:variant>
      <vt:variant>
        <vt:i4>5</vt:i4>
      </vt:variant>
      <vt:variant>
        <vt:lpwstr>https://www.earthdata.nasa.gov/news/blog/applying-machine-learning-harmful-algal-blooms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Brugger, Connor R</dc:creator>
  <cp:keywords/>
  <dc:description/>
  <cp:lastModifiedBy>Brugger, Connor R</cp:lastModifiedBy>
  <cp:revision>4</cp:revision>
  <dcterms:created xsi:type="dcterms:W3CDTF">2026-03-18T20:13:00Z</dcterms:created>
  <dcterms:modified xsi:type="dcterms:W3CDTF">2026-04-13T19:47:00Z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3bd310df-928f-4aef-8957-b06578d10fd8</vt:lpwstr>
  </property>
</Properties>
</file>