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7.419 observações firma-ano de 730 companhias abertas não financeiras brasileiras entre 2010 e 2025. Sobre o agregado dos eventos a agregação não se justifica: a área sob a curva ROC do escore é de 0,764, contra 0,894 da cobertura de juros e 0,874 do retorno sobre ativos, em conclusão que se mantém sob validação cruzada agrupada por firma e sob avaliação temporal. </w:t>
      </w:r>
      <w:r>
        <w:rPr>
          <w:rFonts w:ascii="Times New Roman" w:cs="Times New Roman" w:eastAsia="Times New Roman" w:hAnsi="Times New Roman"/>
          <w:b w:val="false"/>
          <w:bCs w:val="false"/>
          <w:i w:val="false"/>
          <w:iCs w:val="false"/>
          <w:sz w:val="24"/>
          <w:szCs w:val="24"/>
        </w:rPr>
        <w:t xml:space="preserve">Uma análise diagnóstica posterior, de caráter exploratório, decompõe o evento pelo critério que o define</w:t>
      </w:r>
      <w:r>
        <w:rPr>
          <w:rFonts w:ascii="Times New Roman" w:cs="Times New Roman" w:eastAsia="Times New Roman" w:hAnsi="Times New Roman"/>
          <w:b w:val="false"/>
          <w:bCs w:val="false"/>
          <w:i w:val="false"/>
          <w:iCs w:val="false"/>
          <w:sz w:val="24"/>
          <w:szCs w:val="24"/>
        </w:rPr>
        <w:t xml:space="preserve"> e mostra que o resultado agregado é produzido por uma das rotas de deterioração. </w:t>
      </w:r>
      <w:r>
        <w:rPr>
          <w:rFonts w:ascii="Times New Roman" w:cs="Times New Roman" w:eastAsia="Times New Roman" w:hAnsi="Times New Roman"/>
          <w:b w:val="false"/>
          <w:bCs w:val="false"/>
          <w:i w:val="false"/>
          <w:iCs w:val="false"/>
          <w:sz w:val="24"/>
          <w:szCs w:val="24"/>
        </w:rPr>
        <w:t xml:space="preserve">Nas entradas por prejuízo operacional persistente o escore fica 0,32 ponto atrás da cobertura de juros em um ano, contraste em que pesa a sobreposição mecânica entre o evento e os preditores, e 0,15 ponto atrás em dois anos;</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as diferenças não são estatisticamente distinguíveis. </w:t>
      </w: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spacing w:after="240" w:before="180" w:line="360"/>
        <w:jc w:val="both"/>
        <w:rPr/>
      </w:pPr>
      <w:r>
        <w:rPr>
          <w:rFonts w:ascii="Times New Roman" w:cs="Times New Roman" w:eastAsia="Times New Roman" w:hAnsi="Times New Roman"/>
          <w:b/>
          <w:bCs/>
          <w:i w:val="false"/>
          <w:iCs w:val="false"/>
          <w:sz w:val="24"/>
          <w:szCs w:val="24"/>
        </w:rPr>
        <w:t xml:space="preserve">Classificação JEL: </w:t>
      </w:r>
      <w:r>
        <w:rPr>
          <w:rFonts w:ascii="Times New Roman" w:cs="Times New Roman" w:eastAsia="Times New Roman" w:hAnsi="Times New Roman"/>
          <w:b w:val="false"/>
          <w:bCs w:val="false"/>
          <w:i w:val="false"/>
          <w:iCs w:val="false"/>
          <w:sz w:val="24"/>
          <w:szCs w:val="24"/>
        </w:rPr>
        <w:t xml:space="preserve">G33; G32; C38; C53; E12.</w:t>
      </w:r>
    </w:p>
    <w:p>
      <w:pPr>
        <w:spacing w:after="120" w:before="0" w:line="360"/>
        <w:jc w:val="left"/>
        <w:rPr/>
      </w:pPr>
      <w:r>
        <w:rPr>
          <w:rFonts w:ascii="Times New Roman" w:cs="Times New Roman" w:eastAsia="Times New Roman" w:hAnsi="Times New Roman"/>
          <w:b/>
          <w:bCs/>
          <w:i w:val="false"/>
          <w:iCs w:val="false"/>
          <w:sz w:val="24"/>
          <w:szCs w:val="24"/>
        </w:rPr>
        <w:t xml:space="preserve">Abstract</w:t>
      </w:r>
    </w:p>
    <w:p>
      <w:pPr>
        <w:spacing w:after="0" w:before="0" w:line="360"/>
        <w:jc w:val="both"/>
        <w:rPr/>
      </w:pPr>
      <w:r>
        <w:rPr>
          <w:rFonts w:ascii="Times New Roman" w:cs="Times New Roman" w:eastAsia="Times New Roman" w:hAnsi="Times New Roman"/>
          <w:b w:val="false"/>
          <w:bCs w:val="false"/>
          <w:i w:val="false"/>
          <w:iCs w:val="false"/>
          <w:sz w:val="24"/>
          <w:szCs w:val="24"/>
        </w:rPr>
        <w:t xml:space="preserve">This paper examines whether aggregating accounting indicators into a synthetic financial fragility score is justified relative to its best individual components, using a panel of 7,419 firm-year observations from 730 Brazilian non-financial listed companies between 2010 and 2025. Over the pooled set of events, aggregation is not justified: the area under the ROC curve of the score is 0.764, against 0.894 for interest coverage and 0.874 for return on assets, a conclusion that holds under firm-clustered cross-validation and under temporal evaluation. A subsequent, exploratory diagnostic analysis decomposes the event by the criterion that defines it and shows that the aggregate result is produced by one of the deterioration routes. For entries through persistent operating losses, the score trails interest coverage by 0.32 points at one year, a contrast in which the mechanical overlap between the event and the predictors weighs, and by 0.15 points at two years; for entries through negative equity and judicial reorganization, the differences are not statistically distinguishable. The data are consistent with a composition explanation: firms heading toward operating losses show, at the time of prediction, lower leverage and higher liquidity than average, and a score dominated by balance-sheet structure classifies them as robust. The conclusion about aggregation therefore depends on the deterioration route one seeks to anticipate.</w:t>
      </w:r>
    </w:p>
    <w:p>
      <w:pPr>
        <w:spacing w:after="240" w:before="180" w:line="360"/>
        <w:jc w:val="both"/>
        <w:rPr/>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Financial fragility; Synthetic indicator; Principal components; Financial vulnerability; Listed companies.</w:t>
      </w:r>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7.419 observações firma-ano, cobrindo 730 companhias abertas não financeiras entre 2010 e 2025. As firmas que deixam o painel ao longo do período são mantidas até seu último exercício observado, decisão relevante: </w:t>
      </w:r>
      <w:r>
        <w:rPr>
          <w:rFonts w:ascii="Times New Roman" w:cs="Times New Roman" w:eastAsia="Times New Roman" w:hAnsi="Times New Roman"/>
          <w:b w:val="false"/>
          <w:bCs w:val="false"/>
          <w:i w:val="false"/>
          <w:iCs w:val="false"/>
          <w:sz w:val="24"/>
          <w:szCs w:val="24"/>
        </w:rPr>
        <w:t xml:space="preserve">entre as que saem, 31,8% estavam em situação de vulnerabilidade na última observação, contra 14,4% entre as que permanecem</w:t>
      </w:r>
      <w:r>
        <w:rPr>
          <w:rFonts w:ascii="Times New Roman" w:cs="Times New Roman" w:eastAsia="Times New Roman" w:hAnsi="Times New Roman"/>
          <w:b w:val="false"/>
          <w:bCs w:val="false"/>
          <w:i w:val="false"/>
          <w:iCs w:val="false"/>
          <w:sz w:val="24"/>
          <w:szCs w:val="24"/>
        </w:rPr>
        <w:t xml:space="preserve">. Oito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0,764 fora da amostra, contra 0,894 da cobertura de juros e 0,874 do retorno sobre ativos, e a mesma ordenação aparece sob avaliação temporal. O escore, contudo, reúne as três propriedades que se esperariam de um bom indicador sintético: coerência teórica, com todas as cargas do primeiro componente no sentido esperado; estrutura interpretável, discriminando a posição financeira minskyana </w:t>
      </w:r>
      <w:r>
        <w:rPr>
          <w:rFonts w:ascii="Times New Roman" w:cs="Times New Roman" w:eastAsia="Times New Roman" w:hAnsi="Times New Roman"/>
          <w:b w:val="false"/>
          <w:bCs w:val="false"/>
          <w:i w:val="false"/>
          <w:iCs w:val="false"/>
          <w:sz w:val="24"/>
          <w:szCs w:val="24"/>
        </w:rPr>
        <w:t xml:space="preserve">com área sob a curva de 0,782, ou 0,769 quando excluído</w:t>
      </w:r>
      <w:r>
        <w:rPr>
          <w:rFonts w:ascii="Times New Roman" w:cs="Times New Roman" w:eastAsia="Times New Roman" w:hAnsi="Times New Roman"/>
          <w:b w:val="false"/>
          <w:bCs w:val="false"/>
          <w:i w:val="false"/>
          <w:iCs w:val="false"/>
          <w:sz w:val="24"/>
          <w:szCs w:val="24"/>
        </w:rPr>
        <w:t xml:space="preserve"> o indicador que define essa posição; e conteúdo preditivo, </w:t>
      </w:r>
      <w:r>
        <w:rPr>
          <w:rFonts w:ascii="Times New Roman" w:cs="Times New Roman" w:eastAsia="Times New Roman" w:hAnsi="Times New Roman"/>
          <w:b w:val="false"/>
          <w:bCs w:val="false"/>
          <w:i w:val="false"/>
          <w:iCs w:val="false"/>
          <w:sz w:val="24"/>
          <w:szCs w:val="24"/>
        </w:rPr>
        <w:t xml:space="preserve">antecipando a entrada com p &lt; 0,001.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w:t>
      </w:r>
      <w:r>
        <w:rPr>
          <w:rFonts w:ascii="Times New Roman" w:cs="Times New Roman" w:eastAsia="Times New Roman" w:hAnsi="Times New Roman"/>
          <w:b w:val="false"/>
          <w:bCs w:val="false"/>
          <w:i w:val="false"/>
          <w:iCs w:val="false"/>
          <w:sz w:val="24"/>
          <w:szCs w:val="24"/>
        </w:rPr>
        <w:t xml:space="preserve">a desvantagem do escore concentra-se naquelas definidas por prejuízo operacional persistente: ali o escore alcança 0,649 contra 0,973 da cobertura de juros em um ano, diferença de 0,324 ponto em boa parte mecânica,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nas entradas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O escore não é, portanto, uniformemente inferior: seu desempenho é fraco em uma das rotas.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entram em vulnerabilidade por prejuízo operacional apresentam, no momento da previsão, alavancagem mediana de 0,213 contra 0,326 das que não entram, liquidez corrente de 1,998 contra 1,430 e capital de giro superior à mediana geral. Como o primeiro componente carrega sobretudo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revisa a literatura, delimita os conceitos de fragilidade, vulnerabilidade e distress e identifica a lacuna. A seção 3 apresenta a metodologia, as hipóteses e o calendário informacional que sustenta a interpretação preditiva. A seção 4 descreve a base de dados. A seção 5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6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Esta seção percorre a literatura na ordem em que ela conduz às escolhas metodológicas adotadas. Parte da formulação teórica que define o objeto, examina como os principais trabalhos operacionalizaram a mensuração de dificuldade financeira, o que cada um encontrou, e conclui identificando o que ainda não foi testado.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2.1 O fundamento teórico e sua operacionalização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w:t>
      </w:r>
      <w:r>
        <w:rPr>
          <w:rFonts w:ascii="Times New Roman" w:cs="Times New Roman" w:eastAsia="Times New Roman" w:hAnsi="Times New Roman"/>
          <w:b w:val="false"/>
          <w:bCs w:val="false"/>
          <w:i w:val="false"/>
          <w:iCs w:val="false"/>
          <w:sz w:val="24"/>
          <w:szCs w:val="24"/>
        </w:rPr>
        <w:t xml:space="preserve">constrói indicadores de fragilidade para o financiamento imobiliário residencial, nos Estados Unidos e, no segundo trabalho, também no Reino Unido e na França, com finalidade macroprudencial, e encontra fragilidade elevada no setor residencial norte-americano a partir de 2004, no período que antecede a crise de 2008.</w:t>
      </w:r>
      <w:r>
        <w:rPr>
          <w:rFonts w:ascii="Times New Roman" w:cs="Times New Roman" w:eastAsia="Times New Roman" w:hAnsi="Times New Roman"/>
          <w:b w:val="false"/>
          <w:bCs w:val="false"/>
          <w:i w:val="false"/>
          <w:iCs w:val="false"/>
          <w:sz w:val="24"/>
          <w:szCs w:val="24"/>
        </w:rPr>
        <w:t xml:space="preserve"> Mulligan (2013) </w:t>
      </w:r>
      <w:r>
        <w:rPr>
          <w:rFonts w:ascii="Times New Roman" w:cs="Times New Roman" w:eastAsia="Times New Roman" w:hAnsi="Times New Roman"/>
          <w:b w:val="false"/>
          <w:bCs w:val="false"/>
          <w:i w:val="false"/>
          <w:iCs w:val="false"/>
          <w:sz w:val="24"/>
          <w:szCs w:val="24"/>
        </w:rPr>
        <w:t xml:space="preserve">aplica a classificação, definida pela cobertura de juros, a grupos setoriais da economia norte-americana e examina em que medida cada setor evolui de acordo com a hipótese de instabilidade financeira.</w:t>
      </w:r>
      <w:r>
        <w:rPr>
          <w:rFonts w:ascii="Times New Roman" w:cs="Times New Roman" w:eastAsia="Times New Roman" w:hAnsi="Times New Roman"/>
          <w:b w:val="false"/>
          <w:bCs w:val="false"/>
          <w:i w:val="false"/>
          <w:iCs w:val="false"/>
          <w:sz w:val="24"/>
          <w:szCs w:val="24"/>
        </w:rPr>
        <w:t xml:space="preserve"> Davis, De Souza e Hernandez (2019) constroem, para firmas não financeiras norte-americanas, uma classificação em regimes minskyanos com limiares absolutos sobre cobertura de juros e fluxo de caixa, </w:t>
      </w:r>
      <w:r>
        <w:rPr>
          <w:rFonts w:ascii="Times New Roman" w:cs="Times New Roman" w:eastAsia="Times New Roman" w:hAnsi="Times New Roman"/>
          <w:b w:val="false"/>
          <w:bCs w:val="false"/>
          <w:i w:val="false"/>
          <w:iCs w:val="false"/>
          <w:sz w:val="24"/>
          <w:szCs w:val="24"/>
        </w:rPr>
        <w:t xml:space="preserve">e documentam crescimento expressivo da participação de firmas Ponzi a partir de 1970, concentrado nas companhias de menor porte.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Nishi (2019) aplica a taxonomia aos setores não financeiros japoneses e encontra predominância da posição especulativa, com evolução distinta por setor e porte.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w:t>
      </w:r>
      <w:r>
        <w:rPr>
          <w:rFonts w:ascii="Times New Roman" w:cs="Times New Roman" w:eastAsia="Times New Roman" w:hAnsi="Times New Roman"/>
          <w:b w:val="false"/>
          <w:bCs w:val="false"/>
          <w:i w:val="false"/>
          <w:iCs w:val="false"/>
          <w:sz w:val="24"/>
          <w:szCs w:val="24"/>
        </w:rPr>
        <w:t xml:space="preserve">adaptando os indicadores e a taxonomia de Minsky aos dados contábeis regulatórios de mais de 60 firmas, e documentam aumento da fragilidade financeira ao longo do período, sobretudo entre 2008 e 2013.</w:t>
      </w:r>
      <w:r>
        <w:rPr>
          <w:rFonts w:ascii="Times New Roman" w:cs="Times New Roman" w:eastAsia="Times New Roman" w:hAnsi="Times New Roman"/>
          <w:b w:val="false"/>
          <w:bCs w:val="false"/>
          <w:i w:val="false"/>
          <w:iCs w:val="false"/>
          <w:sz w:val="24"/>
          <w:szCs w:val="24"/>
        </w:rPr>
        <w:t xml:space="preserve"> Mantoan, Centeno e Feijó (2021) </w:t>
      </w:r>
      <w:r>
        <w:rPr>
          <w:rFonts w:ascii="Times New Roman" w:cs="Times New Roman" w:eastAsia="Times New Roman" w:hAnsi="Times New Roman"/>
          <w:b w:val="false"/>
          <w:bCs w:val="false"/>
          <w:i w:val="false"/>
          <w:iCs w:val="false"/>
          <w:sz w:val="24"/>
          <w:szCs w:val="24"/>
        </w:rPr>
        <w:t xml:space="preserve">investigam o comportamento financeiro das grandes companhias não financeiras brasileiras entre 2012 e 2019 e associam a estagnação do investimento a uma postura defensiva das firmas, que após a recessão de 2015-2016 reestruturaram o endividamento e elevaram a preferência pela liquidez.</w:t>
      </w:r>
      <w:r>
        <w:rPr>
          <w:rFonts w:ascii="Times New Roman" w:cs="Times New Roman" w:eastAsia="Times New Roman" w:hAnsi="Times New Roman"/>
          <w:b w:val="false"/>
          <w:bCs w:val="false"/>
          <w:i w:val="false"/>
          <w:iCs w:val="false"/>
          <w:sz w:val="24"/>
          <w:szCs w:val="24"/>
        </w:rPr>
        <w:t xml:space="preserve"> Esses trabalhos convergem em um ponto de método que importa para o desenho aqui adotado: a classificação minskyana é construída com limiares absolutos definidos a priori, sem estimação de pesos a partir do desfecho observado. É dessa tradição que se extrai, na subseção 3.3, o critério de cobertura de juros inferior à unidade por dois exercícios consecutivos, utilizado aqui como validação convergente do indicador, por critério externo à variável dependente e não utilizado na calibração supervisionada.</w:t>
      </w:r>
    </w:p>
    <w:p>
      <w:pPr>
        <w:keepNext/>
        <w:spacing w:after="120" w:before="240" w:line="360"/>
        <w:jc w:val="left"/>
      </w:pPr>
      <w:r>
        <w:rPr>
          <w:rFonts w:ascii="Times New Roman" w:cs="Times New Roman" w:eastAsia="Times New Roman" w:hAnsi="Times New Roman"/>
          <w:b w:val="false"/>
          <w:bCs w:val="false"/>
          <w:i/>
          <w:iCs/>
          <w:sz w:val="24"/>
          <w:szCs w:val="24"/>
        </w:rPr>
        <w:t xml:space="preserve">2.2 A tradição de predição de insolvência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w:t>
      </w:r>
      <w:r>
        <w:rPr>
          <w:rFonts w:ascii="Times New Roman" w:cs="Times New Roman" w:eastAsia="Times New Roman" w:hAnsi="Times New Roman"/>
          <w:b w:val="false"/>
          <w:bCs w:val="false"/>
          <w:i w:val="false"/>
          <w:iCs w:val="false"/>
          <w:sz w:val="24"/>
          <w:szCs w:val="24"/>
        </w:rPr>
        <w:t xml:space="preserve">e reporta que o porte, a estrutura de capital, o desempenho e a liquidez corrente são os fatores estatisticamente significativos.</w:t>
      </w:r>
      <w:r>
        <w:rPr>
          <w:rFonts w:ascii="Times New Roman" w:cs="Times New Roman" w:eastAsia="Times New Roman" w:hAnsi="Times New Roman"/>
          <w:b w:val="false"/>
          <w:bCs w:val="false"/>
          <w:i w:val="false"/>
          <w:iCs w:val="false"/>
          <w:sz w:val="24"/>
          <w:szCs w:val="24"/>
        </w:rPr>
        <w:t xml:space="preserve"> Zmijewski (1984) emprega probit e, mais importante para o desenho aqui adotado, </w:t>
      </w:r>
      <w:r>
        <w:rPr>
          <w:rFonts w:ascii="Times New Roman" w:cs="Times New Roman" w:eastAsia="Times New Roman" w:hAnsi="Times New Roman"/>
          <w:b w:val="false"/>
          <w:bCs w:val="false"/>
          <w:i w:val="false"/>
          <w:iCs w:val="false"/>
          <w:sz w:val="24"/>
          <w:szCs w:val="24"/>
        </w:rPr>
        <w:t xml:space="preserve">mostra que estimar esses modelos em amostras não aleatórias, com sobrerrepresentação das firmas em dificuldade ou selecionadas pela disponibilidade de dados, enviesa as estimativas de parâmetros e probabilidades, argumento que favorece amostras que preservem a frequência populacional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5.3.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5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w:t>
      </w:r>
      <w:r>
        <w:rPr>
          <w:rFonts w:ascii="Times New Roman" w:cs="Times New Roman" w:eastAsia="Times New Roman" w:hAnsi="Times New Roman"/>
          <w:b w:val="false"/>
          <w:bCs w:val="false"/>
          <w:i w:val="false"/>
          <w:iCs w:val="false"/>
          <w:sz w:val="24"/>
          <w:szCs w:val="24"/>
        </w:rPr>
        <w:t xml:space="preserve">comparam técnicas de aprendizado de máquina, como bagging, boosting e florestas aleatórias, com modelos tradicionais em amostra de firmas norte-americanas e reportam ganho expressivo de acurácia fora da amostra.</w:t>
      </w:r>
      <w:r>
        <w:rPr>
          <w:rFonts w:ascii="Times New Roman" w:cs="Times New Roman" w:eastAsia="Times New Roman" w:hAnsi="Times New Roman"/>
          <w:b w:val="false"/>
          <w:bCs w:val="false"/>
          <w:i w:val="false"/>
          <w:iCs w:val="false"/>
          <w:sz w:val="24"/>
          <w:szCs w:val="24"/>
        </w:rPr>
        <w:t xml:space="preserve"> Zięba, Tomczak e Tomczak (2016) aplicam árvores impulsionadas com geração sintética de atributos a firmas polonesas, du Jardin (2016) </w:t>
      </w:r>
      <w:r>
        <w:rPr>
          <w:rFonts w:ascii="Times New Roman" w:cs="Times New Roman" w:eastAsia="Times New Roman" w:hAnsi="Times New Roman"/>
          <w:b w:val="false"/>
          <w:bCs w:val="false"/>
          <w:i w:val="false"/>
          <w:iCs w:val="false"/>
          <w:sz w:val="24"/>
          <w:szCs w:val="24"/>
        </w:rPr>
        <w:t xml:space="preserve">propõe classificação em dois estágios, baseada em perfis financeiros das firmas, que melhora as previsões quando combinada a técnicas de conjunto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 Mai et al. (2019) incorporam informação textual das divulgações corporativas. Jones, Johnstone e Wilson (2017), comparando dezesseis classificadores, concluem que modelos simples como o logit têm desempenho razoável, mas que métodos de conjunto como boosting e florestas aleatórias os superam; Tian, Yu e Guo (2015) mostram, por seleção de variáveis, que razões construídas apenas com dados contábeis carregam informação incremental sobre o risco de falência; e Veganzones e Séverin (2018) documentam que o forte desbalanceamento entre firmas em dificuldade e saudáveis degrada o desempenho dos classificadores, ponto que motiva as métricas sensíveis à prevalência da subseção 5.7.</w:t>
      </w:r>
      <w:r>
        <w:rPr>
          <w:rFonts w:ascii="Times New Roman" w:cs="Times New Roman" w:eastAsia="Times New Roman" w:hAnsi="Times New Roman"/>
          <w:b w:val="false"/>
          <w:bCs w:val="false"/>
          <w:i w:val="false"/>
          <w:iCs w:val="false"/>
          <w:sz w:val="24"/>
          <w:szCs w:val="24"/>
        </w:rPr>
        <w:t xml:space="preserve">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2.3 Agregação supervisionada e não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as duas tradições existe um conjunto de abordagens que constrói medidas agregadas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Adalet McGowan, Andrews e Millot (2018) para países da OCDE e em Banerjee e Hofmann (2018) em escala internacional, </w:t>
      </w:r>
      <w:r>
        <w:rPr>
          <w:rFonts w:ascii="Times New Roman" w:cs="Times New Roman" w:eastAsia="Times New Roman" w:hAnsi="Times New Roman"/>
          <w:b w:val="false"/>
          <w:bCs w:val="false"/>
          <w:i w:val="false"/>
          <w:iCs w:val="false"/>
          <w:sz w:val="24"/>
          <w:szCs w:val="24"/>
        </w:rPr>
        <w:t xml:space="preserve">documentando aumento da proporção de firmas assim classificadas desde meados dos anos 2000, na amostra da OCDE, e desde o fim dos anos 1980, na do BIS.</w:t>
      </w:r>
      <w:r>
        <w:rPr>
          <w:rFonts w:ascii="Times New Roman" w:cs="Times New Roman" w:eastAsia="Times New Roman" w:hAnsi="Times New Roman"/>
          <w:b w:val="false"/>
          <w:bCs w:val="false"/>
          <w:i w:val="false"/>
          <w:iCs w:val="false"/>
          <w:sz w:val="24"/>
          <w:szCs w:val="24"/>
        </w:rPr>
        <w:t xml:space="preserve"> No Brasil, a metodologia da Capacidade de Pagamento (BRASIL, 2018) </w:t>
      </w:r>
      <w:r>
        <w:rPr>
          <w:rFonts w:ascii="Times New Roman" w:cs="Times New Roman" w:eastAsia="Times New Roman" w:hAnsi="Times New Roman"/>
          <w:b w:val="false"/>
          <w:bCs w:val="false"/>
          <w:i w:val="false"/>
          <w:iCs w:val="false"/>
          <w:sz w:val="24"/>
          <w:szCs w:val="24"/>
        </w:rPr>
        <w:t xml:space="preserve">combina três indicadores fiscais, por meio de limiares e de uma regra de classificação fixados de forma exógena, para classificar entes subnacionais</w:t>
      </w:r>
      <w:r>
        <w:rPr>
          <w:rFonts w:ascii="Times New Roman" w:cs="Times New Roman" w:eastAsia="Times New Roman" w:hAnsi="Times New Roman"/>
          <w:b w:val="false"/>
          <w:bCs w:val="false"/>
          <w:i w:val="false"/>
          <w:iCs w:val="false"/>
          <w:sz w:val="24"/>
          <w:szCs w:val="24"/>
        </w:rPr>
        <w:t xml:space="preserve">, e é o exemplo institucional mais direto de indicador sintético de risco em uso.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keepNext/>
        <w:spacing w:after="120" w:before="240" w:line="360"/>
        <w:jc w:val="left"/>
      </w:pPr>
      <w:r>
        <w:rPr>
          <w:rFonts w:ascii="Times New Roman" w:cs="Times New Roman" w:eastAsia="Times New Roman" w:hAnsi="Times New Roman"/>
          <w:b w:val="false"/>
          <w:bCs w:val="false"/>
          <w:i/>
          <w:iCs/>
          <w:sz w:val="24"/>
          <w:szCs w:val="24"/>
        </w:rPr>
        <w:t xml:space="preserve">2.4 A lacuna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da literatura nacional é o uso de variáveis isoladas ou de combinações fixadas de forma ad hoc, sem exploração formal da estrutura de covariância entre indicadores, com o default como alvo e com tratamento implícito do viés de sobrevivência. O desenho aqui proposto se distingue em seis dimensões simultâneas.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cinco primeiras dizem respeito ao desenho. Constrói-se um fator latente por redução de dimensionalidade, onde a literatura brasileira emprega indicadores isolados. Adota-se a vulnerabilidade como alvo, e não o default, o que desloca a predição para um estágio em que a intervenção ainda é possível. Utilizam-se as Demonstrações Financeiras Padronizadas como painel sistemático, em lugar de amostras pareadas de dezenas de firmas, o que responde diretamente à objeção de Zmijewski (1984) </w:t>
      </w:r>
      <w:r>
        <w:rPr>
          <w:rFonts w:ascii="Times New Roman" w:cs="Times New Roman" w:eastAsia="Times New Roman" w:hAnsi="Times New Roman"/>
          <w:b w:val="false"/>
          <w:bCs w:val="false"/>
          <w:i w:val="false"/>
          <w:iCs w:val="false"/>
          <w:sz w:val="24"/>
          <w:szCs w:val="24"/>
        </w:rPr>
        <w:t xml:space="preserve">quanto ao viés das amostras não aleatórias</w:t>
      </w:r>
      <w:r>
        <w:rPr>
          <w:rFonts w:ascii="Times New Roman" w:cs="Times New Roman" w:eastAsia="Times New Roman" w:hAnsi="Times New Roman"/>
          <w:b w:val="false"/>
          <w:bCs w:val="false"/>
          <w:i w:val="false"/>
          <w:iCs w:val="false"/>
          <w:sz w:val="24"/>
          <w:szCs w:val="24"/>
        </w:rPr>
        <w:t xml:space="preserve">. Trata-se explicitamente o viés de sobrevivência, mantendo no painel as firmas que o deixam antes do fim do período. E testa-se a superioridade contra benchmarks pré-especificados, </w:t>
      </w:r>
      <w:r>
        <w:rPr>
          <w:rFonts w:ascii="Times New Roman" w:cs="Times New Roman" w:eastAsia="Times New Roman" w:hAnsi="Times New Roman"/>
          <w:b w:val="false"/>
          <w:bCs w:val="false"/>
          <w:i w:val="false"/>
          <w:iCs w:val="false"/>
          <w:sz w:val="24"/>
          <w:szCs w:val="24"/>
        </w:rPr>
        <w:t xml:space="preserve">com inferência por bootstrap agrupado por firma e correção para comparações múltiplas</w:t>
      </w:r>
      <w:r>
        <w:rPr>
          <w:rFonts w:ascii="Times New Roman" w:cs="Times New Roman" w:eastAsia="Times New Roman" w:hAnsi="Times New Roman"/>
          <w:b w:val="false"/>
          <w:bCs w:val="false"/>
          <w:i w:val="false"/>
          <w:iCs w:val="false"/>
          <w:sz w:val="24"/>
          <w:szCs w:val="24"/>
        </w:rPr>
        <w:t xml:space="preserve">, em lugar da comparação informal de acurácias que predomina na literatura nacional.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sexta dimensão é a que organiza a contribuição.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isola o efeito do método de agregação. É esse o desenho adotado a partir da próxima seção.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5.5.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Zmijewski (1984) mostrou que a construção da amostra de eventos altera as estimativas de modelos de insolvência; o argumento aqui é próximo, mas incide sobre a comparação entre preditores, e não sobre os coeficientes de um deles. Nenhum dos trabalhos revisados reporta desempenho separado por critério de definição do evento.</w:t>
      </w:r>
    </w:p>
    <w:p>
      <w:pPr>
        <w:keepNext/>
        <w:spacing w:after="180" w:before="360" w:line="360"/>
        <w:jc w:val="left"/>
      </w:pPr>
      <w:r>
        <w:rPr>
          <w:rFonts w:ascii="Times New Roman" w:cs="Times New Roman" w:eastAsia="Times New Roman" w:hAnsi="Times New Roman"/>
          <w:b/>
          <w:bCs/>
          <w:i w:val="false"/>
          <w:iCs w:val="false"/>
          <w:sz w:val="24"/>
          <w:szCs w:val="24"/>
        </w:rPr>
        <w:t xml:space="preserve">3.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3.1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1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x*ₖ(i,t) = [xₖ(i,t) − μₖ] / σₖ</w:t>
      </w:r>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3.2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F(i,t) = v₁′ x*(i,t)</w:t>
      </w:r>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3.3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2.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5.4.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15,0% refere-se à presença no estado de vulnerabilidade, e não à incidência de entradas. </w:t>
      </w:r>
      <w:r>
        <w:rPr>
          <w:rFonts w:ascii="Times New Roman" w:cs="Times New Roman" w:eastAsia="Times New Roman" w:hAnsi="Times New Roman"/>
          <w:b w:val="false"/>
          <w:bCs w:val="false"/>
          <w:i w:val="false"/>
          <w:iCs w:val="false"/>
          <w:sz w:val="24"/>
          <w:szCs w:val="24"/>
        </w:rPr>
        <w:t xml:space="preserve">A conversão de uma medida na outra é tratada na subseção 4.3, onde se apresenta a decomposição dos eventos e a construção da amostra de risco. No restante do texto, o critério (b) é também designado como prejuízo operacional persistente, e as entradas que o satisfazem, como entradas por prejuízo operacional; a denominação refere-se ao resultado antes de juros, impostos, depreciação e amortização, e não ao lucro operacional contábil.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5.9.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w:t>
      </w:r>
      <w:r>
        <w:rPr>
          <w:rFonts w:ascii="Times New Roman" w:cs="Times New Roman" w:eastAsia="Times New Roman" w:hAnsi="Times New Roman"/>
          <w:b w:val="false"/>
          <w:bCs w:val="false"/>
          <w:i w:val="false"/>
          <w:iCs w:val="false"/>
          <w:sz w:val="24"/>
          <w:szCs w:val="24"/>
        </w:rPr>
        <w:t xml:space="preserve">critério absoluto na linha da taxonomia de Minsky e próximo do adotado pela literatura de firmas zumbis, que exige cobertura inferior à unidade por três exercícios consecutivos.</w:t>
      </w:r>
      <w:r>
        <w:rPr>
          <w:rFonts w:ascii="Times New Roman" w:cs="Times New Roman" w:eastAsia="Times New Roman" w:hAnsi="Times New Roman"/>
          <w:b w:val="false"/>
          <w:bCs w:val="false"/>
          <w:i w:val="false"/>
          <w:iCs w:val="false"/>
          <w:sz w:val="24"/>
          <w:szCs w:val="24"/>
        </w:rPr>
        <w:t xml:space="preserve">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3.4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P[V(i,t+h) = 1 | F(i,t), Z(i,t)] = Φ(α + β F(i,t) + γ′ Z(i,t))</w:t>
      </w:r>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w:t>
      </w:r>
      <w:r>
        <w:rPr>
          <w:rFonts w:ascii="Times New Roman" w:cs="Times New Roman" w:eastAsia="Times New Roman" w:hAnsi="Times New Roman"/>
          <w:b w:val="false"/>
          <w:bCs w:val="false"/>
          <w:i w:val="false"/>
          <w:iCs w:val="false"/>
          <w:sz w:val="24"/>
          <w:szCs w:val="24"/>
        </w:rPr>
        <w:t xml:space="preserve">(HANLEY; McNEIL, 1982)</w:t>
      </w:r>
      <w:r>
        <w:rPr>
          <w:rFonts w:ascii="Times New Roman" w:cs="Times New Roman" w:eastAsia="Times New Roman" w:hAnsi="Times New Roman"/>
          <w:b w:val="false"/>
          <w:bCs w:val="false"/>
          <w:i w:val="false"/>
          <w:iCs w:val="false"/>
          <w:sz w:val="24"/>
          <w:szCs w:val="24"/>
        </w:rPr>
        <w:t xml:space="preserve">, que corresponde à probabilidade de o modelo atribuir escore de risco mais alto a uma firma que efetivamente se tornou vulnerável do que a uma firma que permaneceu saudável, considerando pares selecionados ao acaso. Como a prevalência do evento é baixa, </w:t>
      </w:r>
      <w:r>
        <w:rPr>
          <w:rFonts w:ascii="Times New Roman" w:cs="Times New Roman" w:eastAsia="Times New Roman" w:hAnsi="Times New Roman"/>
          <w:b w:val="false"/>
          <w:bCs w:val="false"/>
          <w:i w:val="false"/>
          <w:iCs w:val="false"/>
          <w:sz w:val="24"/>
          <w:szCs w:val="24"/>
        </w:rPr>
        <w:t xml:space="preserve">de aproximadamente 3%</w:t>
      </w:r>
      <w:r>
        <w:rPr>
          <w:rFonts w:ascii="Times New Roman" w:cs="Times New Roman" w:eastAsia="Times New Roman" w:hAnsi="Times New Roman"/>
          <w:b w:val="false"/>
          <w:bCs w:val="false"/>
          <w:i w:val="false"/>
          <w:iCs w:val="false"/>
          <w:sz w:val="24"/>
          <w:szCs w:val="24"/>
        </w:rPr>
        <w:t xml:space="preserve">, a área sob a curva é complementada na subseção 5.7 por métricas sensíveis à prevalência e à qualidade das probabilidades: </w:t>
      </w:r>
      <w:r>
        <w:rPr>
          <w:rFonts w:ascii="Times New Roman" w:cs="Times New Roman" w:eastAsia="Times New Roman" w:hAnsi="Times New Roman"/>
          <w:b w:val="false"/>
          <w:bCs w:val="false"/>
          <w:i w:val="false"/>
          <w:iCs w:val="false"/>
          <w:sz w:val="24"/>
          <w:szCs w:val="24"/>
        </w:rPr>
        <w:t xml:space="preserve">a área sob a curva de precisão e revocação (SAITO; REHMSMEIER, 2015), o escore de Brier (BRIER, 1950), a inclinação e o intercepto de calibração (COX, 1958; VAN CALSTER et al., 2019)</w:t>
      </w:r>
      <w:r>
        <w:rPr>
          <w:rFonts w:ascii="Times New Roman" w:cs="Times New Roman" w:eastAsia="Times New Roman" w:hAnsi="Times New Roman"/>
          <w:b w:val="false"/>
          <w:bCs w:val="false"/>
          <w:i w:val="false"/>
          <w:iCs w:val="false"/>
          <w:sz w:val="24"/>
          <w:szCs w:val="24"/>
        </w:rPr>
        <w:t xml:space="preserve">, a sensibilidade, a especificidade e os valores preditivos em limiares fixados na amostra de treino, </w:t>
      </w:r>
      <w:r>
        <w:rPr>
          <w:rFonts w:ascii="Times New Roman" w:cs="Times New Roman" w:eastAsia="Times New Roman" w:hAnsi="Times New Roman"/>
          <w:b w:val="false"/>
          <w:bCs w:val="false"/>
          <w:i w:val="false"/>
          <w:iCs w:val="false"/>
          <w:sz w:val="24"/>
          <w:szCs w:val="24"/>
        </w:rPr>
        <w:t xml:space="preserve">e a decisão líquida (VICKERS; ELKIN, 2006) sob diferentes razões de custo</w:t>
      </w:r>
      <w:r>
        <w:rPr>
          <w:rFonts w:ascii="Times New Roman" w:cs="Times New Roman" w:eastAsia="Times New Roman" w:hAnsi="Times New Roman"/>
          <w:b w:val="false"/>
          <w:bCs w:val="false"/>
          <w:i w:val="false"/>
          <w:iCs w:val="false"/>
          <w:sz w:val="24"/>
          <w:szCs w:val="24"/>
        </w:rPr>
        <w:t xml:space="preserve">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w:t>
      </w:r>
      <w:r>
        <w:rPr>
          <w:rFonts w:ascii="Times New Roman" w:cs="Times New Roman" w:eastAsia="Times New Roman" w:hAnsi="Times New Roman"/>
          <w:b w:val="false"/>
          <w:bCs w:val="false"/>
          <w:i w:val="false"/>
          <w:iCs w:val="false"/>
          <w:sz w:val="24"/>
          <w:szCs w:val="24"/>
        </w:rPr>
        <w:t xml:space="preserve">é conduzida por bootstrap agrupado por firma (FIELD; WELSH, 2007), com 2.000 reamostragens</w:t>
      </w:r>
      <w:r>
        <w:rPr>
          <w:rFonts w:ascii="Times New Roman" w:cs="Times New Roman" w:eastAsia="Times New Roman" w:hAnsi="Times New Roman"/>
          <w:b w:val="false"/>
          <w:bCs w:val="false"/>
          <w:i w:val="false"/>
          <w:iCs w:val="false"/>
          <w:sz w:val="24"/>
          <w:szCs w:val="24"/>
        </w:rPr>
        <w:t xml:space="preserve">: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w:t>
      </w:r>
      <w:r>
        <w:rPr>
          <w:rFonts w:ascii="Times New Roman" w:cs="Times New Roman" w:eastAsia="Times New Roman" w:hAnsi="Times New Roman"/>
          <w:b w:val="false"/>
          <w:bCs w:val="false"/>
          <w:i w:val="false"/>
          <w:iCs w:val="false"/>
          <w:sz w:val="24"/>
          <w:szCs w:val="24"/>
        </w:rPr>
        <w:t xml:space="preserve">A correção de Bonferroni (DUNN, 1961) é aplicada</w:t>
      </w:r>
      <w:r>
        <w:rPr>
          <w:rFonts w:ascii="Times New Roman" w:cs="Times New Roman" w:eastAsia="Times New Roman" w:hAnsi="Times New Roman"/>
          <w:b w:val="false"/>
          <w:bCs w:val="false"/>
          <w:i w:val="false"/>
          <w:iCs w:val="false"/>
          <w:sz w:val="24"/>
          <w:szCs w:val="24"/>
        </w:rPr>
        <w:t xml:space="preserve"> aos valores obtidos no procedimento agrupado, </w:t>
      </w:r>
      <w:r>
        <w:rPr>
          <w:rFonts w:ascii="Times New Roman" w:cs="Times New Roman" w:eastAsia="Times New Roman" w:hAnsi="Times New Roman"/>
          <w:b w:val="false"/>
          <w:bCs w:val="false"/>
          <w:i w:val="false"/>
          <w:iCs w:val="false"/>
          <w:sz w:val="24"/>
          <w:szCs w:val="24"/>
        </w:rPr>
        <w:t xml:space="preserve">considerando conjuntamente as seis comparações de cada horizonte contra os benchmarks e a referência não linear; a comparação com o escore supervisionado, que responde a H4, é tratada à parte</w:t>
      </w:r>
      <w:r>
        <w:rPr>
          <w:rFonts w:ascii="Times New Roman" w:cs="Times New Roman" w:eastAsia="Times New Roman" w:hAnsi="Times New Roman"/>
          <w:b w:val="false"/>
          <w:bCs w:val="false"/>
          <w:i w:val="false"/>
          <w:iCs w:val="false"/>
          <w:sz w:val="24"/>
          <w:szCs w:val="24"/>
        </w:rPr>
        <w:t xml:space="preserv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w:t>
      </w:r>
      <w:r>
        <w:rPr>
          <w:rFonts w:ascii="Times New Roman" w:cs="Times New Roman" w:eastAsia="Times New Roman" w:hAnsi="Times New Roman"/>
          <w:b w:val="false"/>
          <w:bCs w:val="false"/>
          <w:i w:val="false"/>
          <w:iCs w:val="false"/>
          <w:sz w:val="24"/>
          <w:szCs w:val="24"/>
        </w:rPr>
        <w:t xml:space="preserve">a primeira e a última winsorizadas por ano nos percentis 1 e 99, com os quantis estimados exclusivamente nas firmas de treino, tratamento ausente do trabalho original e adotado aqui para conter os valores extremos produzidos por denominadores próximos de zero.</w:t>
      </w:r>
      <w:r>
        <w:rPr>
          <w:rFonts w:ascii="Times New Roman" w:cs="Times New Roman" w:eastAsia="Times New Roman" w:hAnsi="Times New Roman"/>
          <w:b w:val="false"/>
          <w:bCs w:val="false"/>
          <w:i w:val="false"/>
          <w:iCs w:val="false"/>
          <w:sz w:val="24"/>
          <w:szCs w:val="24"/>
        </w:rPr>
        <w:t xml:space="preserve">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w:t>
      </w:r>
      <w:r>
        <w:rPr>
          <w:rFonts w:ascii="Times New Roman" w:cs="Times New Roman" w:eastAsia="Times New Roman" w:hAnsi="Times New Roman"/>
          <w:b w:val="false"/>
          <w:bCs w:val="false"/>
          <w:i w:val="false"/>
          <w:iCs w:val="false"/>
          <w:sz w:val="24"/>
          <w:szCs w:val="24"/>
        </w:rPr>
        <w:t xml:space="preserve">a referência usual de ao menos dez eventos por parâmetro estimado (PEDUZZI et al., 1996)</w:t>
      </w:r>
      <w:r>
        <w:rPr>
          <w:rFonts w:ascii="Times New Roman" w:cs="Times New Roman" w:eastAsia="Times New Roman" w:hAnsi="Times New Roman"/>
          <w:b w:val="false"/>
          <w:bCs w:val="false"/>
          <w:i w:val="false"/>
          <w:iCs w:val="false"/>
          <w:sz w:val="24"/>
          <w:szCs w:val="24"/>
        </w:rPr>
        <w:t xml:space="preserve"> limitaria o modelo a cerca de quinze parâmetros, margem que efeitos fixos de setor em desagregação fina consumiriam integralmente. Adota-se, por essa razão, agregação setorial em grupos amplos, e a subseção 5.4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5.3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w:t>
      </w:r>
      <w:r>
        <w:rPr>
          <w:rFonts w:ascii="Times New Roman" w:cs="Times New Roman" w:eastAsia="Times New Roman" w:hAnsi="Times New Roman"/>
          <w:b w:val="false"/>
          <w:bCs w:val="false"/>
          <w:i w:val="false"/>
          <w:iCs w:val="false"/>
          <w:sz w:val="24"/>
          <w:szCs w:val="24"/>
        </w:rPr>
        <w:t xml:space="preserve">cujas médias e desvios-padrão são reportados na subseção 5.3</w:t>
      </w:r>
      <w:r>
        <w:rPr>
          <w:rFonts w:ascii="Times New Roman" w:cs="Times New Roman" w:eastAsia="Times New Roman" w:hAnsi="Times New Roman"/>
          <w:b w:val="false"/>
          <w:bCs w:val="false"/>
          <w:i w:val="false"/>
          <w:iCs w:val="false"/>
          <w:sz w:val="24"/>
          <w:szCs w:val="24"/>
        </w:rPr>
        <w:t xml:space="preserve">.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3.5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w:t>
      </w:r>
      <w:r>
        <w:rPr>
          <w:rFonts w:ascii="Times New Roman" w:cs="Times New Roman" w:eastAsia="Times New Roman" w:hAnsi="Times New Roman"/>
          <w:b w:val="false"/>
          <w:bCs w:val="false"/>
          <w:i w:val="false"/>
          <w:iCs w:val="false"/>
          <w:sz w:val="24"/>
          <w:szCs w:val="24"/>
        </w:rPr>
        <w:t xml:space="preserve">pelo número de componentes retidos pelo critério de Kaiser (KAISER, 1960)</w:t>
      </w:r>
      <w:r>
        <w:rPr>
          <w:rFonts w:ascii="Times New Roman" w:cs="Times New Roman" w:eastAsia="Times New Roman" w:hAnsi="Times New Roman"/>
          <w:b w:val="false"/>
          <w:bCs w:val="false"/>
          <w:i w:val="false"/>
          <w:iCs w:val="false"/>
          <w:sz w:val="24"/>
          <w:szCs w:val="24"/>
        </w:rPr>
        <w:t xml:space="preserve">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3.6.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w:t>
      </w:r>
      <w:r>
        <w:rPr>
          <w:rFonts w:ascii="Times New Roman" w:cs="Times New Roman" w:eastAsia="Times New Roman" w:hAnsi="Times New Roman"/>
          <w:b w:val="false"/>
          <w:bCs w:val="false"/>
          <w:i w:val="false"/>
          <w:iCs w:val="false"/>
          <w:sz w:val="24"/>
          <w:szCs w:val="24"/>
        </w:rPr>
        <w:t xml:space="preserve">obtido por árvores impulsionadas com gradiente (FRIEDMAN, 2001) sobre as mesmas oito variáveis</w:t>
      </w:r>
      <w:r>
        <w:rPr>
          <w:rFonts w:ascii="Times New Roman" w:cs="Times New Roman" w:eastAsia="Times New Roman" w:hAnsi="Times New Roman"/>
          <w:b w:val="false"/>
          <w:bCs w:val="false"/>
          <w:i w:val="false"/>
          <w:iCs w:val="false"/>
          <w:sz w:val="24"/>
          <w:szCs w:val="24"/>
        </w:rPr>
        <w:t xml:space="preserve">,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5.5.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e não sustentam decisão sobre as hipóteses.</w:t>
      </w:r>
    </w:p>
    <w:p>
      <w:pPr>
        <w:keepNext/>
        <w:spacing w:after="120" w:before="240" w:line="360"/>
        <w:jc w:val="left"/>
      </w:pPr>
      <w:r>
        <w:rPr>
          <w:rFonts w:ascii="Times New Roman" w:cs="Times New Roman" w:eastAsia="Times New Roman" w:hAnsi="Times New Roman"/>
          <w:b w:val="false"/>
          <w:bCs w:val="false"/>
          <w:i/>
          <w:iCs/>
          <w:sz w:val="24"/>
          <w:szCs w:val="24"/>
        </w:rPr>
        <w:t xml:space="preserve">3.6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3.3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w:t>
      </w:r>
      <w:r>
        <w:rPr>
          <w:rFonts w:ascii="Times New Roman" w:cs="Times New Roman" w:eastAsia="Times New Roman" w:hAnsi="Times New Roman"/>
          <w:b w:val="false"/>
          <w:bCs w:val="false"/>
          <w:i w:val="false"/>
          <w:iCs w:val="false"/>
          <w:sz w:val="24"/>
          <w:szCs w:val="24"/>
        </w:rPr>
        <w:t xml:space="preserve">Das 149 entradas da amostra comum no horizonte de um ano</w:t>
      </w:r>
      <w:r>
        <w:rPr>
          <w:rFonts w:ascii="Times New Roman" w:cs="Times New Roman" w:eastAsia="Times New Roman" w:hAnsi="Times New Roman"/>
          <w:b w:val="false"/>
          <w:bCs w:val="false"/>
          <w:i w:val="false"/>
          <w:iCs w:val="false"/>
          <w:sz w:val="24"/>
          <w:szCs w:val="24"/>
        </w:rPr>
        <w:t xml:space="preserve">,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5.8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4.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4.1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w:t>
      </w:r>
      <w:r>
        <w:rPr>
          <w:rFonts w:ascii="Times New Roman" w:cs="Times New Roman" w:eastAsia="Times New Roman" w:hAnsi="Times New Roman"/>
          <w:b w:val="false"/>
          <w:bCs w:val="false"/>
          <w:i w:val="false"/>
          <w:iCs w:val="false"/>
          <w:sz w:val="24"/>
          <w:szCs w:val="24"/>
        </w:rPr>
        <w:t xml:space="preserve">referentes aos exercícios de 2010 a 2025</w:t>
      </w:r>
      <w:r>
        <w:rPr>
          <w:rFonts w:ascii="Times New Roman" w:cs="Times New Roman" w:eastAsia="Times New Roman" w:hAnsi="Times New Roman"/>
          <w:b w:val="false"/>
          <w:bCs w:val="false"/>
          <w:i w:val="false"/>
          <w:iCs w:val="false"/>
          <w:sz w:val="24"/>
          <w:szCs w:val="24"/>
        </w:rPr>
        <w:t xml:space="preserve">.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7.690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7.419 observações firma-ano referentes a 730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584 em 2023, encerrando o período em 529. Cada firma é observada em média por 10,2 exercícios, com mediana de 9, e apenas 237 das 730 companhias comparecem em todos os anos do período. Excluem-se da amostra doze emissores estrangeiros com recibos de depósito negociados no país, para os quais a legislação brasileira de recuperação judicial não se aplica e não há cadastro de companhia aberta. A entrada e a saída de firmas ao longo do painel não são independentes do fenômeno estudado, questão tratada na subseção 5.8.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w:t>
      </w:r>
      <w:r>
        <w:rPr>
          <w:rFonts w:ascii="Times New Roman" w:cs="Times New Roman" w:eastAsia="Times New Roman" w:hAnsi="Times New Roman"/>
          <w:b w:val="false"/>
          <w:bCs w:val="false"/>
          <w:i w:val="false"/>
          <w:iCs w:val="false"/>
          <w:sz w:val="24"/>
          <w:szCs w:val="24"/>
        </w:rPr>
        <w:t xml:space="preserve">a cobertura varia de menos 82,0 a 575,6</w:t>
      </w:r>
      <w:r>
        <w:rPr>
          <w:rFonts w:ascii="Times New Roman" w:cs="Times New Roman" w:eastAsia="Times New Roman" w:hAnsi="Times New Roman"/>
          <w:b w:val="false"/>
          <w:bCs w:val="false"/>
          <w:i w:val="false"/>
          <w:iCs w:val="false"/>
          <w:sz w:val="24"/>
          <w:szCs w:val="24"/>
        </w:rPr>
        <w:t xml:space="preserve"> e a margem de menos 56,1 a 15,5. Como a análise de componentes principais opera sobre a matriz de correlação, valores extremos influenciam a estrutura fatorial estimada, e a robustez dos resultados a esse tratamento é verificada na subseção 5.8.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4.2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3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7.419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w:t>
      </w:r>
      <w:r>
        <w:rPr>
          <w:rFonts w:ascii="Times New Roman" w:cs="Times New Roman" w:eastAsia="Times New Roman" w:hAnsi="Times New Roman"/>
          <w:b w:val="false"/>
          <w:bCs w:val="false"/>
          <w:i w:val="false"/>
          <w:iCs w:val="false"/>
          <w:sz w:val="24"/>
          <w:szCs w:val="24"/>
        </w:rPr>
        <w:t xml:space="preserve">A correlação máxima é de 0,44</w:t>
      </w:r>
      <w:r>
        <w:rPr>
          <w:rFonts w:ascii="Times New Roman" w:cs="Times New Roman" w:eastAsia="Times New Roman" w:hAnsi="Times New Roman"/>
          <w:b w:val="false"/>
          <w:bCs w:val="false"/>
          <w:i w:val="false"/>
          <w:iCs w:val="false"/>
          <w:sz w:val="24"/>
          <w:szCs w:val="24"/>
        </w:rPr>
        <w:t xml:space="preserve">, entre liquidez corrente e capital de giro, e a maioria dos pares fica abaixo de 0,25, o que já sugere estrutura pouco concentrada. E a cobertura de juros é praticamente ortogonal ao restante do sistema: </w:t>
      </w:r>
      <w:r>
        <w:rPr>
          <w:rFonts w:ascii="Times New Roman" w:cs="Times New Roman" w:eastAsia="Times New Roman" w:hAnsi="Times New Roman"/>
          <w:b w:val="false"/>
          <w:bCs w:val="false"/>
          <w:i w:val="false"/>
          <w:iCs w:val="false"/>
          <w:sz w:val="24"/>
          <w:szCs w:val="24"/>
        </w:rPr>
        <w:t xml:space="preserve">sua correlação mais alta é de 0,21 com o retorno sobre ativos</w:t>
      </w:r>
      <w:r>
        <w:rPr>
          <w:rFonts w:ascii="Times New Roman" w:cs="Times New Roman" w:eastAsia="Times New Roman" w:hAnsi="Times New Roman"/>
          <w:b w:val="false"/>
          <w:bCs w:val="false"/>
          <w:i w:val="false"/>
          <w:iCs w:val="false"/>
          <w:sz w:val="24"/>
          <w:szCs w:val="24"/>
        </w:rPr>
        <w:t xml:space="preserve">, e as demais ficam em torno de 0,10. Esse fato terá consequência direta na subseção 5.5,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4.3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15,0% do painel. A Tabela 5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5.695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2,95%</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5.3 e 5.6.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50 observações censuradas à esquerda</w:t>
      </w:r>
      <w:r>
        <w:rPr>
          <w:rFonts w:ascii="Times New Roman" w:cs="Times New Roman" w:eastAsia="Times New Roman" w:hAnsi="Times New Roman"/>
          <w:b w:val="false"/>
          <w:bCs w:val="false"/>
          <w:i w:val="false"/>
          <w:iCs w:val="false"/>
          <w:sz w:val="24"/>
          <w:szCs w:val="24"/>
        </w:rPr>
        <w:t xml:space="preserve">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risco reúne as 5.695 observações cuja firma estava fora do estado de vulnerabilidade no exercício anterior e que, portanto, podem registrar uma entrada. Ficam fora dela as 921 observações de permanência no estado ou censuradas à esquerda e as 803 observações sem exercício anterior saudável observado, das quais 689 correspondem à primeira aparição da firma no painel.</w:t>
      </w:r>
      <w:r>
        <w:rPr>
          <w:rFonts w:ascii="Times New Roman" w:cs="Times New Roman" w:eastAsia="Times New Roman" w:hAnsi="Times New Roman"/>
          <w:b w:val="false"/>
          <w:bCs w:val="false"/>
          <w:i w:val="false"/>
          <w:iCs w:val="false"/>
          <w:sz w:val="24"/>
          <w:szCs w:val="24"/>
        </w:rPr>
        <w:t xml:space="preserve">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5.086 observações e 153 entradas, ou 3,01%. As duas medidas são distintas e ambas relevantes: 3,41% é a incidência de entrada no painel, </w:t>
      </w:r>
      <w:r>
        <w:rPr>
          <w:rFonts w:ascii="Times New Roman" w:cs="Times New Roman" w:eastAsia="Times New Roman" w:hAnsi="Times New Roman"/>
          <w:b w:val="false"/>
          <w:bCs w:val="false"/>
          <w:i w:val="false"/>
          <w:iCs w:val="false"/>
          <w:sz w:val="24"/>
          <w:szCs w:val="24"/>
        </w:rPr>
        <w:t xml:space="preserve">ao passo que 3,01% é a frequência do evento</w:t>
      </w:r>
      <w:r>
        <w:rPr>
          <w:rFonts w:ascii="Times New Roman" w:cs="Times New Roman" w:eastAsia="Times New Roman" w:hAnsi="Times New Roman"/>
          <w:b w:val="false"/>
          <w:bCs w:val="false"/>
          <w:i w:val="false"/>
          <w:iCs w:val="false"/>
          <w:sz w:val="24"/>
          <w:szCs w:val="24"/>
        </w:rPr>
        <w:t xml:space="preserve">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3.3. Aplicada à amostra de risco, ela produz taxa de eventos de 3,41%, compatível com a frequência usual na literatura. A trajetória temporal das duas séries reforça a distinção. Sob a codificação por estado, </w:t>
      </w:r>
      <w:r>
        <w:rPr>
          <w:rFonts w:ascii="Times New Roman" w:cs="Times New Roman" w:eastAsia="Times New Roman" w:hAnsi="Times New Roman"/>
          <w:b w:val="false"/>
          <w:bCs w:val="false"/>
          <w:i w:val="false"/>
          <w:iCs w:val="false"/>
          <w:sz w:val="24"/>
          <w:szCs w:val="24"/>
        </w:rPr>
        <w:t xml:space="preserve">a taxa cresce de forma praticamente monotônica até 2017, de 5,6% em 2010 a 20,9% em 2017</w:t>
      </w:r>
      <w:r>
        <w:rPr>
          <w:rFonts w:ascii="Times New Roman" w:cs="Times New Roman" w:eastAsia="Times New Roman" w:hAnsi="Times New Roman"/>
          <w:b w:val="false"/>
          <w:bCs w:val="false"/>
          <w:i w:val="false"/>
          <w:iCs w:val="false"/>
          <w:sz w:val="24"/>
          <w:szCs w:val="24"/>
        </w:rPr>
        <w:t xml:space="preserve">,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5.8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5.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5.1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7.419 observações do painel. A Tabela 6 reporta a decomposição completa e a Figura 1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11,57%</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10,50%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78,87%</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88,49%</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0,509</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94,85%</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Autovalores dos componentes principais</w:t>
      </w:r>
    </w:p>
    <w:p>
      <w:pPr>
        <w:spacing w:after="60" w:before="120"/>
        <w:jc w:val="center"/>
      </w:pPr>
      <w:r>
        <w:drawing>
          <wp:inline distT="0" distB="0" distL="0" distR="0">
            <wp:extent cx="5486400" cy="378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8895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26,92% da variância total, </w:t>
      </w:r>
      <w:r>
        <w:rPr>
          <w:rFonts w:ascii="Times New Roman" w:cs="Times New Roman" w:eastAsia="Times New Roman" w:hAnsi="Times New Roman"/>
          <w:b w:val="false"/>
          <w:bCs w:val="false"/>
          <w:i w:val="false"/>
          <w:iCs w:val="false"/>
          <w:sz w:val="24"/>
          <w:szCs w:val="24"/>
        </w:rPr>
        <w:t xml:space="preserve">e o critério de Kaiser retém 3 componentes, que juntos explicam 56,80%. A análise paralela de Horn (1965), mais conservadora, retém o mesmo número.</w:t>
      </w:r>
      <w:r>
        <w:rPr>
          <w:rFonts w:ascii="Times New Roman" w:cs="Times New Roman" w:eastAsia="Times New Roman" w:hAnsi="Times New Roman"/>
          <w:b w:val="false"/>
          <w:bCs w:val="false"/>
          <w:i w:val="false"/>
          <w:iCs w:val="false"/>
          <w:sz w:val="24"/>
          <w:szCs w:val="24"/>
        </w:rPr>
        <w:t xml:space="preserve"> A Tabela 7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5.6,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26,92%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5.5 mostra a que rota de deterioração essa dimensão corresponde, </w:t>
      </w:r>
      <w:r>
        <w:rPr>
          <w:rFonts w:ascii="Times New Roman" w:cs="Times New Roman" w:eastAsia="Times New Roman" w:hAnsi="Times New Roman"/>
          <w:b w:val="false"/>
          <w:bCs w:val="false"/>
          <w:i w:val="false"/>
          <w:iCs w:val="false"/>
          <w:sz w:val="24"/>
          <w:szCs w:val="24"/>
        </w:rPr>
        <w:t xml:space="preserve">e em qual delas o escore tem desempenho fraco</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5.8, </w:t>
      </w:r>
      <w:r>
        <w:rPr>
          <w:rFonts w:ascii="Times New Roman" w:cs="Times New Roman" w:eastAsia="Times New Roman" w:hAnsi="Times New Roman"/>
          <w:b w:val="false"/>
          <w:bCs w:val="false"/>
          <w:i w:val="false"/>
          <w:iCs w:val="false"/>
          <w:sz w:val="24"/>
          <w:szCs w:val="24"/>
        </w:rPr>
        <w:t xml:space="preserve">em que a combinação do primeiro com o segundo componente, com qualquer dos dois sinais possíveis para este, reduz a área sob a curva fora da amostra de 0,764 para 0,706 ou 0,665</w:t>
      </w:r>
      <w:r>
        <w:rPr>
          <w:rFonts w:ascii="Times New Roman" w:cs="Times New Roman" w:eastAsia="Times New Roman" w:hAnsi="Times New Roman"/>
          <w:b w:val="false"/>
          <w:bCs w:val="false"/>
          <w:i w:val="false"/>
          <w:iCs w:val="false"/>
          <w:sz w:val="24"/>
          <w:szCs w:val="24"/>
        </w:rPr>
        <w:t xml:space="preserve">, ilustra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5.2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3.3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escore médio das observações em posição Ponzi é de 0,908, contra −0,396 para as demais, e a área sob a curva para discriminar essa posição é de 0,782 (Tabela A.1). Excluída a cobertura de juros, ela passa a 0,769.</w:t>
      </w:r>
      <w:r>
        <w:rPr>
          <w:rFonts w:ascii="Times New Roman" w:cs="Times New Roman" w:eastAsia="Times New Roman" w:hAnsi="Times New Roman"/>
          <w:b w:val="false"/>
          <w:bCs w:val="false"/>
          <w:i w:val="false"/>
          <w:iCs w:val="false"/>
          <w:sz w:val="24"/>
          <w:szCs w:val="24"/>
        </w:rPr>
        <w:t xml:space="preserve"> A queda de 0,013 ponto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5.3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A.2 reporta a área sob a curva ROC dos modelos dentro da amostra, com e sem controles, e fora da amostra sob o procedimento descrito na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0,042 ponto. Os efeitos fixos fornecem aos indicadores pobres informação que eles próprios não carregam, razão pela qual a inferência é conduzida sobre a especificação sem controles, conforme 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8 reporta a comparação fora da amostra nos dois horizontes, com inferência por bootstrap agrupado por firma, e a Figura 2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[+0,086;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[+0,080;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[−0,075; +0,016]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0,188</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+0,192]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 +0,105]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no horizonte de um ano, e 4.294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w:t>
      </w:r>
      <w:r>
        <w:rPr>
          <w:rFonts w:ascii="Times New Roman" w:cs="Times New Roman" w:eastAsia="Times New Roman" w:hAnsi="Times New Roman"/>
          <w:b w:val="false"/>
          <w:bCs w:val="false"/>
          <w:i w:val="false"/>
          <w:iCs w:val="false"/>
          <w:sz w:val="20"/>
          <w:szCs w:val="20"/>
        </w:rPr>
        <w:t xml:space="preserve">p ajustado por Bonferroni para as seis comparações de cada horizonte contra benchmarks e referência não linear; a comparação com mínimos quadrados parciais responde a H4 e não é ajustada</w:t>
      </w:r>
      <w:r>
        <w:rPr>
          <w:rFonts w:ascii="Times New Roman" w:cs="Times New Roman" w:eastAsia="Times New Roman" w:hAnsi="Times New Roman"/>
          <w:b w:val="false"/>
          <w:bCs w:val="false"/>
          <w:i w:val="false"/>
          <w:iCs w:val="false"/>
          <w:sz w:val="20"/>
          <w:szCs w:val="20"/>
        </w:rPr>
        <w:t xml:space="preserv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Curvas ROC fora da amostra, horizonte de um ano</w:t>
      </w:r>
    </w:p>
    <w:p>
      <w:pPr>
        <w:spacing w:after="60" w:before="120"/>
        <w:jc w:val="center"/>
      </w:pPr>
      <w:r>
        <w:drawing>
          <wp:inline distT="0" distB="0" distL="0" distR="0">
            <wp:extent cx="5486400" cy="52269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26996"/>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0,764, contra 0,894 da cobertura de juros, </w:t>
      </w:r>
      <w:r>
        <w:rPr>
          <w:rFonts w:ascii="Times New Roman" w:cs="Times New Roman" w:eastAsia="Times New Roman" w:hAnsi="Times New Roman"/>
          <w:b w:val="false"/>
          <w:bCs w:val="false"/>
          <w:i w:val="false"/>
          <w:iCs w:val="false"/>
          <w:sz w:val="24"/>
          <w:szCs w:val="24"/>
        </w:rPr>
        <w:t xml:space="preserve">0,874 do retorno sobre ativos e 0,897 da referência não linear</w:t>
      </w:r>
      <w:r>
        <w:rPr>
          <w:rFonts w:ascii="Times New Roman" w:cs="Times New Roman" w:eastAsia="Times New Roman" w:hAnsi="Times New Roman"/>
          <w:b w:val="false"/>
          <w:bCs w:val="false"/>
          <w:i w:val="false"/>
          <w:iCs w:val="false"/>
          <w:sz w:val="24"/>
          <w:szCs w:val="24"/>
        </w:rPr>
        <w:t xml:space="preserve">. Todas essas diferenças resistem à correção de Bonferroni. Como H2 exige superioridade sobre todos os benchmarks, H2 é rejeitada sobre o agregado dos eventos. A subseção 5.5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w:t>
      </w:r>
      <w:r>
        <w:rPr>
          <w:rFonts w:ascii="Times New Roman" w:cs="Times New Roman" w:eastAsia="Times New Roman" w:hAnsi="Times New Roman"/>
          <w:b w:val="false"/>
          <w:bCs w:val="false"/>
          <w:i w:val="false"/>
          <w:iCs w:val="false"/>
          <w:sz w:val="24"/>
          <w:szCs w:val="24"/>
        </w:rPr>
        <w:t xml:space="preserve">que ele supera por 0,030 ponto sem significância estatística. Sob as dez atribuições aleatórias de firmas a partições, as médias praticamente coincidem com os valores da atribuição de referência: 0,763 para o escore sintético, com desvio-padrão de 0,002, 0,874 para o escore supervisionado (0,003) e 0,897 para a referência não linear (0,004). O modelo de Brito e Assaf Neto é o mais sensível à atribuição, com média de 0,725 e amplitude de 0,705 a 0,739, o que reforça a leitura de que sua diferença para o escore sintético não é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A.3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a ordenação da validação cruzada no horizonte de um ano, com 40 entradas no período de teste e todas as diferenças significativas. A conclusão sobre H2, portanto, não depende do esquema de avaliação. </w:t>
      </w:r>
      <w:r>
        <w:rPr>
          <w:rFonts w:ascii="Times New Roman" w:cs="Times New Roman" w:eastAsia="Times New Roman" w:hAnsi="Times New Roman"/>
          <w:b w:val="false"/>
          <w:bCs w:val="false"/>
          <w:i w:val="false"/>
          <w:iCs w:val="false"/>
          <w:sz w:val="24"/>
          <w:szCs w:val="24"/>
        </w:rPr>
        <w:t xml:space="preserve">No horizonte de dois anos, com 34 entradas, nenhuma diferença alcança significância, e o esquema temporal é informativo apenas quanto à direção. A exceção à ordenação é o modelo de Brito e Assaf Neto, que no esquema temporal supera o escore sintético, com 0,787 contra 0,744, ao contrário do que ocorre na validação cruzada.</w:t>
      </w:r>
    </w:p>
    <w:p>
      <w:pPr>
        <w:keepNext/>
        <w:spacing w:after="120" w:before="240" w:line="360"/>
        <w:jc w:val="left"/>
      </w:pPr>
      <w:r>
        <w:rPr>
          <w:rFonts w:ascii="Times New Roman" w:cs="Times New Roman" w:eastAsia="Times New Roman" w:hAnsi="Times New Roman"/>
          <w:b w:val="false"/>
          <w:bCs w:val="false"/>
          <w:i/>
          <w:iCs/>
          <w:sz w:val="24"/>
          <w:szCs w:val="24"/>
        </w:rPr>
        <w:t xml:space="preserve">5.4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0,551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4.321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6.662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5.912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coeficiente é positivo e significativo, com p &lt; 0,001, nos quatro modelos.</w:t>
      </w:r>
      <w:r>
        <w:rPr>
          <w:rFonts w:ascii="Times New Roman" w:cs="Times New Roman" w:eastAsia="Times New Roman" w:hAnsi="Times New Roman"/>
          <w:b w:val="false"/>
          <w:bCs w:val="false"/>
          <w:i w:val="false"/>
          <w:iCs w:val="false"/>
          <w:sz w:val="24"/>
          <w:szCs w:val="24"/>
        </w:rPr>
        <w:t xml:space="preserve"> Sob a especificação principal, o escore antecipa a entrada em vulnerabilidade tanto em um ano quanto em dois, com coeficientes de 0,344 e 0,216. A evidência sustenta H3, e o horizonte de dois anos é o que a sustenta de forma mais estrita: pelas razões expostas na subseção 3.6,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0,639 sob estado para 0,344 sob transição no horizonte de um ano, mede o quanto da associação aparente decorria de reconhecer uma condição já instalada, e não de antecipá-la. O pseudo R² acompanha o mesmo movimento, de 0,345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3.4. A verificação pertinente é se o resultado depende disso, e não depende: na especificação com controle apenas de porte, que opera em 51,00 eventos por parâmetro, o coeficiente é de 0,332; sem controles, em 76,50 eventos por parâmetro, é de 0,348; e na especificação completa, de 0,344. </w:t>
      </w:r>
      <w:r>
        <w:rPr>
          <w:rFonts w:ascii="Times New Roman" w:cs="Times New Roman" w:eastAsia="Times New Roman" w:hAnsi="Times New Roman"/>
          <w:b w:val="false"/>
          <w:bCs w:val="false"/>
          <w:i w:val="false"/>
          <w:iCs w:val="false"/>
          <w:sz w:val="24"/>
          <w:szCs w:val="24"/>
        </w:rPr>
        <w:t xml:space="preserve">Os três são significativos, com p &lt; 0,001,</w:t>
      </w:r>
      <w:r>
        <w:rPr>
          <w:rFonts w:ascii="Times New Roman" w:cs="Times New Roman" w:eastAsia="Times New Roman" w:hAnsi="Times New Roman"/>
          <w:b w:val="false"/>
          <w:bCs w:val="false"/>
          <w:i w:val="false"/>
          <w:iCs w:val="false"/>
          <w:sz w:val="24"/>
          <w:szCs w:val="24"/>
        </w:rPr>
        <w:t xml:space="preserve">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071"/>
        <w:gridCol w:w="1000"/>
        <w:gridCol w:w="1000"/>
        <w:gridCol w:w="1000"/>
        <w:gridCol w:w="1100"/>
        <w:gridCol w:w="1000"/>
        <w:gridCol w:w="1000"/>
        <w:gridCol w:w="900"/>
      </w:tblGrid>
      <w:tr>
        <w:trPr>
          <w:tblHeader/>
        </w:trPr>
        <w:tc>
          <w:tcPr>
            <w:tcW w:type="dxa" w:w="2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0,833</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0,689</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0,780</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0,719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0,618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0,654</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8, com a diferença de que os valores desta tabela são médias sobre dez atribuições, </w:t>
      </w:r>
      <w:r>
        <w:rPr>
          <w:rFonts w:ascii="Times New Roman" w:cs="Times New Roman" w:eastAsia="Times New Roman" w:hAnsi="Times New Roman"/>
          <w:b w:val="false"/>
          <w:bCs w:val="false"/>
          <w:i w:val="false"/>
          <w:iCs w:val="false"/>
          <w:sz w:val="20"/>
          <w:szCs w:val="20"/>
        </w:rPr>
        <w:t xml:space="preserve">e não os da atribuição de referência. A última coluna reporta a margem EBITDA isolada, cuja condição define o critério de prejuízo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w:t>
      </w:r>
      <w:r>
        <w:rPr>
          <w:rFonts w:ascii="Times New Roman" w:cs="Times New Roman" w:eastAsia="Times New Roman" w:hAnsi="Times New Roman"/>
          <w:b w:val="false"/>
          <w:bCs w:val="false"/>
          <w:i w:val="false"/>
          <w:iCs w:val="false"/>
          <w:sz w:val="24"/>
          <w:szCs w:val="24"/>
        </w:rPr>
        <w:t xml:space="preserve">o escore sintético fica muito atrás: na atribuição de referência, detalhada na Tabela 11, alcança 0,649 em um ano</w:t>
      </w:r>
      <w:r>
        <w:rPr>
          <w:rFonts w:ascii="Times New Roman" w:cs="Times New Roman" w:eastAsia="Times New Roman" w:hAnsi="Times New Roman"/>
          <w:b w:val="false"/>
          <w:bCs w:val="false"/>
          <w:i w:val="false"/>
          <w:iCs w:val="false"/>
          <w:sz w:val="24"/>
          <w:szCs w:val="24"/>
        </w:rPr>
        <w:t xml:space="preserve">, contra 0,973 da cobertura de juros, diferença de 0,324 ponto com intervalo que exclui o zero com folga. </w:t>
      </w:r>
      <w:r>
        <w:rPr>
          <w:rFonts w:ascii="Times New Roman" w:cs="Times New Roman" w:eastAsia="Times New Roman" w:hAnsi="Times New Roman"/>
          <w:b w:val="false"/>
          <w:bCs w:val="false"/>
          <w:i w:val="false"/>
          <w:iCs w:val="false"/>
          <w:sz w:val="24"/>
          <w:szCs w:val="24"/>
        </w:rPr>
        <w:t xml:space="preserve">Nas entradas exclusivamente por patrimônio líquido negativo, o escore alcança 0,816</w:t>
      </w:r>
      <w:r>
        <w:rPr>
          <w:rFonts w:ascii="Times New Roman" w:cs="Times New Roman" w:eastAsia="Times New Roman" w:hAnsi="Times New Roman"/>
          <w:b w:val="false"/>
          <w:bCs w:val="false"/>
          <w:i w:val="false"/>
          <w:iCs w:val="false"/>
          <w:sz w:val="24"/>
          <w:szCs w:val="24"/>
        </w:rPr>
        <w:t xml:space="preserve"> e fica nominalmente à frente da cobertura de juros e do retorno sobre ativos, por 0,030 e 0,032 ponto, mas os intervalos contêm o zero: o que se observa é empate, e não superioridade. </w:t>
      </w:r>
      <w:r>
        <w:rPr>
          <w:rFonts w:ascii="Times New Roman" w:cs="Times New Roman" w:eastAsia="Times New Roman" w:hAnsi="Times New Roman"/>
          <w:b w:val="false"/>
          <w:bCs w:val="false"/>
          <w:i w:val="false"/>
          <w:iCs w:val="false"/>
          <w:sz w:val="24"/>
          <w:szCs w:val="24"/>
        </w:rPr>
        <w:t xml:space="preserve">A única diferença significativa nesse tipo de entrada é contra o escore supervisionado, que o escore sintético supera por 0,066 ponto, resultado que não resiste à antecipação das datas de recuperação judicial examinada na subseção 5.9.</w:t>
      </w:r>
      <w:r>
        <w:rPr>
          <w:rFonts w:ascii="Times New Roman" w:cs="Times New Roman" w:eastAsia="Times New Roman" w:hAnsi="Times New Roman"/>
          <w:b w:val="false"/>
          <w:bCs w:val="false"/>
          <w:i w:val="false"/>
          <w:iCs w:val="false"/>
          <w:sz w:val="24"/>
          <w:szCs w:val="24"/>
        </w:rPr>
        <w:t xml:space="preserve"> Nas entradas por recuperação judicial nenhuma diferença é distinguível, com 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10 não são mutuamente exclusivos, porque uma entrada pode satisfazer mais de um critério. A Tabela 11 repete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1771"/>
        <w:gridCol w:w="1000"/>
        <w:gridCol w:w="850"/>
        <w:gridCol w:w="1100"/>
        <w:gridCol w:w="1650"/>
        <w:gridCol w:w="1050"/>
        <w:gridCol w:w="1650"/>
      </w:tblGrid>
      <w:tr>
        <w:trPr>
          <w:tblHeader/>
        </w:trPr>
        <w:tc>
          <w:tcPr>
            <w:tcW w:type="dxa" w:w="17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8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[+0,244; +0,411]</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+0,291</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 +0,371]</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[−0,093; +0,038]</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 −0,003]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 +0,117]</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 +0,136]</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[+0,057; +0,233]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[+0,196; +0,353]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[−0,069; +0,063]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[−0,139; −0,023]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 +0,069]</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 +0,148]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3.5.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Desempenho fora da amostra por rota de deterioração</w:t>
      </w:r>
    </w:p>
    <w:p>
      <w:pPr>
        <w:spacing w:after="60" w:before="120"/>
        <w:jc w:val="center"/>
      </w:pPr>
      <w:r>
        <w:drawing>
          <wp:inline distT="0" distB="0" distL="0" distR="0">
            <wp:extent cx="5486400" cy="2587925"/>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 cstate="none"/>
                    <a:srcRect/>
                    <a:stretch>
                      <a:fillRect/>
                    </a:stretch>
                  </pic:blipFill>
                  <pic:spPr bwMode="auto">
                    <a:xfrm>
                      <a:off x="0" y="0"/>
                      <a:ext cx="5486400" cy="2587925"/>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0,125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0,857, o escore supervisionado 0,856 </w:t>
      </w:r>
      <w:r>
        <w:rPr>
          <w:rFonts w:ascii="Times New Roman" w:cs="Times New Roman" w:eastAsia="Times New Roman" w:hAnsi="Times New Roman"/>
          <w:b w:val="false"/>
          <w:bCs w:val="false"/>
          <w:i w:val="false"/>
          <w:iCs w:val="false"/>
          <w:sz w:val="24"/>
          <w:szCs w:val="24"/>
        </w:rPr>
        <w:t xml:space="preserve">e a referência não linear 0,857, sem diferença</w:t>
      </w:r>
      <w:r>
        <w:rPr>
          <w:rFonts w:ascii="Times New Roman" w:cs="Times New Roman" w:eastAsia="Times New Roman" w:hAnsi="Times New Roman"/>
          <w:b w:val="false"/>
          <w:bCs w:val="false"/>
          <w:i w:val="false"/>
          <w:iCs w:val="false"/>
          <w:sz w:val="24"/>
          <w:szCs w:val="24"/>
        </w:rPr>
        <w:t xml:space="preserve">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w:t>
      </w:r>
      <w:r>
        <w:rPr>
          <w:rFonts w:ascii="Times New Roman" w:cs="Times New Roman" w:eastAsia="Times New Roman" w:hAnsi="Times New Roman"/>
          <w:b w:val="false"/>
          <w:bCs w:val="false"/>
          <w:i w:val="false"/>
          <w:iCs w:val="false"/>
          <w:sz w:val="24"/>
          <w:szCs w:val="24"/>
        </w:rPr>
        <w:t xml:space="preserve">Seu peso é mensurável: as 66 entradas desse tipo têm EBITDA negativo já em t, condição que atinge apenas 4,6% dos não eventos, e a margem EBITDA isolada alcança 0,978 nesse subconjunto; restrita às observações com EBITDA negativo em t, a área sob a curva da cobertura de juros cai para 0,591. A explicação mecânica responde, portanto, pela maior parte do contraste no horizonte de um ano. Ela não basta, porém, porque no horizonte de dois anos</w:t>
      </w:r>
      <w:r>
        <w:rPr>
          <w:rFonts w:ascii="Times New Roman" w:cs="Times New Roman" w:eastAsia="Times New Roman" w:hAnsi="Times New Roman"/>
          <w:b w:val="false"/>
          <w:bCs w:val="false"/>
          <w:i w:val="false"/>
          <w:iCs w:val="false"/>
          <w:sz w:val="24"/>
          <w:szCs w:val="24"/>
        </w:rPr>
        <w:t xml:space="preserve">, em que essa condição se refere a exercícios posteriores ao da previsão, o escore alcança 0,377, valor abaixo de 0,500 que indica ordenação invertida. </w:t>
      </w:r>
      <w:r>
        <w:rPr>
          <w:rFonts w:ascii="Times New Roman" w:cs="Times New Roman" w:eastAsia="Times New Roman" w:hAnsi="Times New Roman"/>
          <w:b w:val="false"/>
          <w:bCs w:val="false"/>
          <w:i w:val="false"/>
          <w:iCs w:val="false"/>
          <w:sz w:val="24"/>
          <w:szCs w:val="24"/>
        </w:rPr>
        <w:t xml:space="preserve">A segunda explicação é de composição, e os dados são consistentes com ela:</w:t>
      </w:r>
      <w:r>
        <w:rPr>
          <w:rFonts w:ascii="Times New Roman" w:cs="Times New Roman" w:eastAsia="Times New Roman" w:hAnsi="Times New Roman"/>
          <w:b w:val="false"/>
          <w:bCs w:val="false"/>
          <w:i w:val="false"/>
          <w:iCs w:val="false"/>
          <w:sz w:val="24"/>
          <w:szCs w:val="24"/>
        </w:rPr>
        <w:t xml:space="preserve"> a Tabela 12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1,430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22,171</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w:t>
      </w:r>
      <w:r>
        <w:rPr>
          <w:rFonts w:ascii="Times New Roman" w:cs="Times New Roman" w:eastAsia="Times New Roman" w:hAnsi="Times New Roman"/>
          <w:b w:val="false"/>
          <w:bCs w:val="false"/>
          <w:i w:val="false"/>
          <w:iCs w:val="false"/>
          <w:sz w:val="20"/>
          <w:szCs w:val="20"/>
        </w:rPr>
        <w:t xml:space="preserve">A primeira coluna refere-se às entradas que satisfazem apenas o critério de EBITDA; a segunda, a todas as entradas por patrimônio líquido negativo, inclusive as que também satisfazem outro critério.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1,430 e capital de giro superior. São menores e apresentam rentabilidade mais baixa, mas seu balanço é, nas dimensões de estrutura, melhor que o da firma mediana. Como o primeiro componente carrega sobretudo capital de giro, com 0,532, alavancagem, com 0,415, e liquidez corrente, com 0,373, o escore lê essas firmas como robustas. As que entram por patrimônio líquido negativo apresentam o perfil oposto, com alavancagem de 0,425 e liquidez de 0,944, e ali o escore acompanha as melhores alternativas.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p>
    <w:p>
      <w:pPr>
        <w:keepNext/>
        <w:spacing w:after="120" w:before="240" w:line="360"/>
        <w:jc w:val="left"/>
      </w:pPr>
      <w:r>
        <w:rPr>
          <w:rFonts w:ascii="Times New Roman" w:cs="Times New Roman" w:eastAsia="Times New Roman" w:hAnsi="Times New Roman"/>
          <w:b w:val="false"/>
          <w:bCs w:val="false"/>
          <w:i/>
          <w:iCs/>
          <w:sz w:val="24"/>
          <w:szCs w:val="24"/>
        </w:rPr>
        <w:t xml:space="preserve">5.6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13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36,6%</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60,8%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55,2%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5.5,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0,764 para 0,875,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w:t>
      </w:r>
      <w:r>
        <w:rPr>
          <w:rFonts w:ascii="Times New Roman" w:cs="Times New Roman" w:eastAsia="Times New Roman" w:hAnsi="Times New Roman"/>
          <w:b w:val="false"/>
          <w:bCs w:val="false"/>
          <w:i w:val="false"/>
          <w:iCs w:val="false"/>
          <w:sz w:val="24"/>
          <w:szCs w:val="24"/>
        </w:rPr>
        <w:t xml:space="preserve">o ganho concentra-se nas entradas pelo critério de EBITDA e deixa de ser distinguível quando os modelos são reestimados sem elas</w:t>
      </w:r>
      <w:r>
        <w:rPr>
          <w:rFonts w:ascii="Times New Roman" w:cs="Times New Roman" w:eastAsia="Times New Roman" w:hAnsi="Times New Roman"/>
          <w:b w:val="false"/>
          <w:bCs w:val="false"/>
          <w:i w:val="false"/>
          <w:iCs w:val="false"/>
          <w:sz w:val="24"/>
          <w:szCs w:val="24"/>
        </w:rPr>
        <w:t xml:space="preserve">. O que a supervisão recupera, nesta amostra, é sobretudo a capacidade de explorar a rota do prejuízo operacional: retirada apenas esse tipo de entrada, escore supervisionado e escore sintético ficam em 0,856 e 0,857,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w:t>
      </w:r>
      <w:r>
        <w:rPr>
          <w:rFonts w:ascii="Times New Roman" w:cs="Times New Roman" w:eastAsia="Times New Roman" w:hAnsi="Times New Roman"/>
          <w:b w:val="false"/>
          <w:bCs w:val="false"/>
          <w:i w:val="false"/>
          <w:iCs w:val="false"/>
          <w:sz w:val="24"/>
          <w:szCs w:val="24"/>
        </w:rPr>
        <w:t xml:space="preserve">as árvores impulsionadas alcançam 0,897, e a diferença para a cobertura de juros isolada, de 0,003 ponto,</w:t>
      </w:r>
      <w:r>
        <w:rPr>
          <w:rFonts w:ascii="Times New Roman" w:cs="Times New Roman" w:eastAsia="Times New Roman" w:hAnsi="Times New Roman"/>
          <w:b w:val="false"/>
          <w:bCs w:val="false"/>
          <w:i w:val="false"/>
          <w:iCs w:val="false"/>
          <w:sz w:val="24"/>
          <w:szCs w:val="24"/>
        </w:rPr>
        <w:t xml:space="preserve"> não é estatisticamente distinguível. Entre as explicações avaliadas, a alocação de pesos é a principal, e a forma funcional contribui pouco.</w:t>
      </w:r>
    </w:p>
    <w:p>
      <w:pPr>
        <w:keepNext/>
        <w:spacing w:after="120" w:before="240" w:line="360"/>
        <w:jc w:val="left"/>
      </w:pPr>
      <w:r>
        <w:rPr>
          <w:rFonts w:ascii="Times New Roman" w:cs="Times New Roman" w:eastAsia="Times New Roman" w:hAnsi="Times New Roman"/>
          <w:b w:val="false"/>
          <w:bCs w:val="false"/>
          <w:i/>
          <w:iCs/>
          <w:sz w:val="24"/>
          <w:szCs w:val="24"/>
        </w:rPr>
        <w:t xml:space="preserve">5.7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2,95%, a área sob a curva mede a qualidade da ordenação, mas não informa se os modelos produzem probabilidades utilizáveis. </w:t>
      </w:r>
      <w:r>
        <w:rPr>
          <w:rFonts w:ascii="Times New Roman" w:cs="Times New Roman" w:eastAsia="Times New Roman" w:hAnsi="Times New Roman"/>
          <w:b w:val="false"/>
          <w:bCs w:val="false"/>
          <w:i w:val="false"/>
          <w:iCs w:val="false"/>
          <w:sz w:val="24"/>
          <w:szCs w:val="24"/>
        </w:rPr>
        <w:t xml:space="preserve">Cada escore é convertido em probabilidade por regressão logística sobre o seu posto na distribuição do treino (NICULESCU-MIZIL; CARUANA, 2005), estimada nas firmas de treino</w:t>
      </w:r>
      <w:r>
        <w:rPr>
          <w:rFonts w:ascii="Times New Roman" w:cs="Times New Roman" w:eastAsia="Times New Roman" w:hAnsi="Times New Roman"/>
          <w:b w:val="false"/>
          <w:bCs w:val="false"/>
          <w:i w:val="false"/>
          <w:iCs w:val="false"/>
          <w:sz w:val="24"/>
          <w:szCs w:val="24"/>
        </w:rPr>
        <w:t xml:space="preserve">,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1421"/>
        <w:gridCol w:w="1100"/>
        <w:gridCol w:w="800"/>
        <w:gridCol w:w="1150"/>
        <w:gridCol w:w="1150"/>
        <w:gridCol w:w="750"/>
        <w:gridCol w:w="1500"/>
        <w:gridCol w:w="1200"/>
      </w:tblGrid>
      <w:tr>
        <w:trPr>
          <w:tblHeader/>
        </w:trPr>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sinalizados</w:t>
            </w:r>
          </w:p>
        </w:tc>
        <w:tc>
          <w:tcPr>
            <w:tcW w:type="dxa" w:w="7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Especificidade</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Decisão líquida 10:1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17,2%</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0,184</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1,072</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0,993</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0,843</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0,0275</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44,1%</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0,570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0,003</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1,075</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0,462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w:t>
      </w:r>
      <w:r>
        <w:rPr>
          <w:rFonts w:ascii="Times New Roman" w:cs="Times New Roman" w:eastAsia="Times New Roman" w:hAnsi="Times New Roman"/>
          <w:b w:val="false"/>
          <w:bCs w:val="false"/>
          <w:i w:val="false"/>
          <w:iCs w:val="false"/>
          <w:sz w:val="20"/>
          <w:szCs w:val="20"/>
        </w:rPr>
        <w:t xml:space="preserve">Firma-anos sinalizados, valor preditivo positivo e especificidade referem-se</w:t>
      </w:r>
      <w:r>
        <w:rPr>
          <w:rFonts w:ascii="Times New Roman" w:cs="Times New Roman" w:eastAsia="Times New Roman" w:hAnsi="Times New Roman"/>
          <w:b w:val="false"/>
          <w:bCs w:val="false"/>
          <w:i w:val="false"/>
          <w:iCs w:val="false"/>
          <w:sz w:val="20"/>
          <w:szCs w:val="20"/>
        </w:rPr>
        <w:t xml:space="preserve"> ao limiar que atinge sensibilidade de 80% nas firmas de treino, aplicado às de teste. A área sob a curva de precisão e revocação de um classificador sem informação iguala a prevalência; o Brier de referência corresponde à previsão constante igual à prevalência. </w:t>
      </w:r>
      <w:r>
        <w:rPr>
          <w:rFonts w:ascii="Times New Roman" w:cs="Times New Roman" w:eastAsia="Times New Roman" w:hAnsi="Times New Roman"/>
          <w:b w:val="false"/>
          <w:bCs w:val="false"/>
          <w:i w:val="false"/>
          <w:iCs w:val="false"/>
          <w:sz w:val="20"/>
          <w:szCs w:val="20"/>
        </w:rPr>
        <w:t xml:space="preserve">Inclinação de calibração com valor ideal unitário. Probabilidades obtidas por regressão logística sobre o posto do escore na distribuição do treino. Decisão líquida por firma-ano, sob razão de custo de dez para um; a de não sinalizar ninguém é zero. No mesmo limiar, o valor preditivo negativo fica entre 0,988 e 0,993 em todos os modelos. Modelos na ordem da área sob a curva ROC da Tabela 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Na Tabela 14, a ordenação em precisão e revocação reproduz a da área sob a curva ROC, e a calibração é adequada em todos os modelos, com inclinações entre 0,988 e 1,087 e interceptos próximos de zero, e todos superam a previsão constante no escore de Brier. A conversão é feita sobre o posto do escore, e não sobre o seu valor bruto, porque a regressão logística aplicada a indicadores de caudas longas, como o retorno sobre ativos e a cobertura de juros, atribui probabilidades extremas a poucas observações e degrada o escore de Brier: sobre os valores brutos, três dos seis modelos têm escore de Brier pior que o da previsão constante.</w:t>
      </w:r>
      <w:r>
        <w:rPr>
          <w:rFonts w:ascii="Times New Roman" w:cs="Times New Roman" w:eastAsia="Times New Roman" w:hAnsi="Times New Roman"/>
          <w:b w:val="false"/>
          <w:bCs w:val="false"/>
          <w:i w:val="false"/>
          <w:iCs w:val="false"/>
          <w:sz w:val="24"/>
          <w:szCs w:val="24"/>
        </w:rPr>
        <w:t xml:space="preserve"> A tradução operacional é mais informativa: para capturar cerca de 80% das entradas, </w:t>
      </w:r>
      <w:r>
        <w:rPr>
          <w:rFonts w:ascii="Times New Roman" w:cs="Times New Roman" w:eastAsia="Times New Roman" w:hAnsi="Times New Roman"/>
          <w:b w:val="false"/>
          <w:bCs w:val="false"/>
          <w:i w:val="false"/>
          <w:iCs w:val="false"/>
          <w:sz w:val="24"/>
          <w:szCs w:val="24"/>
        </w:rPr>
        <w:t xml:space="preserve">a regra baseada no escore sintético sinaliza 44,1% dos firma-anos</w:t>
      </w:r>
      <w:r>
        <w:rPr>
          <w:rFonts w:ascii="Times New Roman" w:cs="Times New Roman" w:eastAsia="Times New Roman" w:hAnsi="Times New Roman"/>
          <w:b w:val="false"/>
          <w:bCs w:val="false"/>
          <w:i w:val="false"/>
          <w:iCs w:val="false"/>
          <w:sz w:val="24"/>
          <w:szCs w:val="24"/>
        </w:rPr>
        <w:t xml:space="preserve">, contra 18,7% da cobertura de juros, </w:t>
      </w:r>
      <w:r>
        <w:rPr>
          <w:rFonts w:ascii="Times New Roman" w:cs="Times New Roman" w:eastAsia="Times New Roman" w:hAnsi="Times New Roman"/>
          <w:b w:val="false"/>
          <w:bCs w:val="false"/>
          <w:i w:val="false"/>
          <w:iCs w:val="false"/>
          <w:sz w:val="24"/>
          <w:szCs w:val="24"/>
        </w:rPr>
        <w:t xml:space="preserve">com valor preditivo positivo de 0,053 contra 0,124. No mesmo limiar, a especificidade é de 0,570 para o escore sintético e de 0,831 para a cobertura de juros, e a decisão líquida sob razão de custo de dez para um é positiva em todos os modelos, de 0,003 para o escore sintético a 0,011 para a referência não linear. No horizonte de dois anos, as métricas de probabilidade aproximam-se das da previsão constante e a decisão líquida é praticamente nula em todos os modelos, o que limita a utilidade operacional da previsão nesse horizonte.</w:t>
      </w:r>
    </w:p>
    <w:p>
      <w:pPr>
        <w:keepNext/>
        <w:spacing w:after="120" w:before="240" w:line="360"/>
        <w:jc w:val="left"/>
      </w:pPr>
      <w:r>
        <w:rPr>
          <w:rFonts w:ascii="Times New Roman" w:cs="Times New Roman" w:eastAsia="Times New Roman" w:hAnsi="Times New Roman"/>
          <w:b w:val="false"/>
          <w:bCs w:val="false"/>
          <w:i/>
          <w:iCs/>
          <w:sz w:val="24"/>
          <w:szCs w:val="24"/>
        </w:rPr>
        <w:t xml:space="preserve">5.8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A.4 reporta o efeito de definições alternativas do evento, motivadas pela discussão da subseção 5.5.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A.5 reúne as sensibilidades que alteram a amostra sem alterar a definição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3.6.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w:t>
      </w:r>
      <w:r>
        <w:rPr>
          <w:rFonts w:ascii="Times New Roman" w:cs="Times New Roman" w:eastAsia="Times New Roman" w:hAnsi="Times New Roman"/>
          <w:b w:val="false"/>
          <w:bCs w:val="false"/>
          <w:i w:val="false"/>
          <w:iCs w:val="false"/>
          <w:sz w:val="24"/>
          <w:szCs w:val="24"/>
        </w:rPr>
        <w:t xml:space="preserve">das 201 companhias cuja última observação antecede 2025, 31,8% estavam em vulnerabilidade na última observação, contra 14,4% entre as que permanecem, e 65 saídas apresentam sinal de dificuldade financeira, definido como recuperação judicial registrada ou vulnerabilidade em uma das duas últimas observações. Dessas, 9 ocorrem a partir do estado saudável, sem desfecho observável, e a sensibilidade as trata como evento. A quinta linha usa, em lugar dessa classificação, o motivo do cancelamento no cadastro de companhias abertas. Por ele, as 201 saídas se dividem em fechamento voluntário de capital (119), recuperação judicial (28), incorporação ou reorganização (22), falência ou liquidação (12), cancelamento por outro motivo (7) e motivo não identificado (13); 28 delas decorrem apenas do filtro amostral, com o registro ainda ativo. As 44 saídas associadas a dificuldade financeira pelo cadastro, 21,9% do total, incluem 11 ocorridas a partir do estado saudável, que a sensibilidade trata como evento. Como a saída por dificuldade financeira impede que se observe o desfecho que se pretende prever, ela constitui um risco competitivo, e as duas classificações levam à mesma conclusão. A sexta restringe a amostra às firmas com registro ativo ao fim do período.</w:t>
      </w:r>
      <w:r>
        <w:rPr>
          <w:rFonts w:ascii="Times New Roman" w:cs="Times New Roman" w:eastAsia="Times New Roman" w:hAnsi="Times New Roman"/>
          <w:b w:val="false"/>
          <w:bCs w:val="false"/>
          <w:i w:val="false"/>
          <w:iCs w:val="false"/>
          <w:sz w:val="24"/>
          <w:szCs w:val="24"/>
        </w:rPr>
        <w:t xml:space="preserve">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0,764 para 0,752; </w:t>
      </w:r>
      <w:r>
        <w:rPr>
          <w:rFonts w:ascii="Times New Roman" w:cs="Times New Roman" w:eastAsia="Times New Roman" w:hAnsi="Times New Roman"/>
          <w:b w:val="false"/>
          <w:bCs w:val="false"/>
          <w:i w:val="false"/>
          <w:iCs w:val="false"/>
          <w:sz w:val="24"/>
          <w:szCs w:val="24"/>
        </w:rPr>
        <w:t xml:space="preserve">somar ou subtrair o segundo componente, cujo sinal é arbitrário, a reduz para 0,706 ou 0,665</w:t>
      </w:r>
      <w:r>
        <w:rPr>
          <w:rFonts w:ascii="Times New Roman" w:cs="Times New Roman" w:eastAsia="Times New Roman" w:hAnsi="Times New Roman"/>
          <w:b w:val="false"/>
          <w:bCs w:val="false"/>
          <w:i w:val="false"/>
          <w:iCs w:val="false"/>
          <w:sz w:val="24"/>
          <w:szCs w:val="24"/>
        </w:rPr>
        <w:t xml:space="preserve">; e reconstruir o escore sobre desvios da média histórica de cada firma, calculada apenas com exercícios anteriores, a leva a 0,689. Winsorizando os oito indicadores nos percentis 1 e 99, a variância explicada pelo primeiro componente sobe de 26,92% para 31,55% e o escore alcança 0,799 fora da amostra,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A.6.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2,25% a partir de 2020. A Figura 4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Vulnerabilidade sob as duas codificações</w:t>
      </w:r>
    </w:p>
    <w:p>
      <w:pPr>
        <w:spacing w:after="60" w:before="120"/>
        <w:jc w:val="center"/>
      </w:pPr>
      <w:r>
        <w:drawing>
          <wp:inline distT="0" distB="0" distL="0" distR="0">
            <wp:extent cx="5486400" cy="322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24869"/>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5.9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w:t>
      </w:r>
      <w:r>
        <w:rPr>
          <w:rFonts w:ascii="Times New Roman" w:cs="Times New Roman" w:eastAsia="Times New Roman" w:hAnsi="Times New Roman"/>
          <w:b w:val="false"/>
          <w:bCs w:val="false"/>
          <w:i w:val="false"/>
          <w:iCs w:val="false"/>
          <w:sz w:val="24"/>
          <w:szCs w:val="24"/>
        </w:rPr>
        <w:t xml:space="preserve">O tratamento da subseção 5.8 cobre a antecipação por divulgação anterior às demonstrações de t. Para o eventual atraso da data registrada em relação ao ajuizamento, a recuperação judicial das 22 firmas do painel cujo primeiro documento trata do andamento do processo foi antecipada em um ano e os modelos foram reestimados. A área sob a curva passa a 0,765 para o escore sintético e a 0,887 para a cobertura de juros, e as conclusões agregadas e por rota de deterioração se mantêm, com duas qualificações: nas entradas exclusivamente por patrimônio líquido negativo, a vantagem do escore sintético sobre o supervisionado deixa de ser distinguível, e no horizonte de dois anos a diferença entre a cobertura de juros e o escore sintético passa a resistir à correção de Bonferroni.</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w:t>
      </w:r>
      <w:r>
        <w:rPr>
          <w:rFonts w:ascii="Times New Roman" w:cs="Times New Roman" w:eastAsia="Times New Roman" w:hAnsi="Times New Roman"/>
          <w:b w:val="false"/>
          <w:bCs w:val="false"/>
          <w:i w:val="false"/>
          <w:iCs w:val="false"/>
          <w:sz w:val="24"/>
          <w:szCs w:val="24"/>
        </w:rPr>
        <w:t xml:space="preserve">A classificação de saídas associadas a dificuldade financeira é aproximada. As duas versões empregadas, uma pelo estado de vulnerabilidade e pela recuperação judicial registrada nas últimas observações, outra pelo motivo do cancelamento no cadastro de companhias abertas, levam à mesma conclusão, mas nenhuma identifica a data em que a dificuldade se instalou.</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3.3.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6.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0,764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w:t>
      </w:r>
      <w:r>
        <w:rPr>
          <w:rFonts w:ascii="Times New Roman" w:cs="Times New Roman" w:eastAsia="Times New Roman" w:hAnsi="Times New Roman"/>
          <w:b w:val="false"/>
          <w:bCs w:val="false"/>
          <w:i w:val="false"/>
          <w:iCs w:val="false"/>
          <w:sz w:val="24"/>
          <w:szCs w:val="24"/>
        </w:rPr>
        <w:t xml:space="preserve">com 0,649 contra 0,973 da cobertura de juros em um ano, contraste em boa parte mecânico,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e o escore supera nominalmente o escore supervisionado nas primeiras, com diferença sensível à datação da recuperação judicial.</w:t>
      </w:r>
      <w:r>
        <w:rPr>
          <w:rFonts w:ascii="Times New Roman" w:cs="Times New Roman" w:eastAsia="Times New Roman" w:hAnsi="Times New Roman"/>
          <w:b w:val="false"/>
          <w:bCs w:val="false"/>
          <w:i w:val="false"/>
          <w:iCs w:val="false"/>
          <w:sz w:val="24"/>
          <w:szCs w:val="24"/>
        </w:rPr>
        <w:t xml:space="preserve"> No caso da recuperação judicial, com onze entradas puras, essa ausência de diferença reflete também a baixa precisão da comparação, e não sustenta afirmação forte em nenhuma direção. </w:t>
      </w:r>
      <w:r>
        <w:rPr>
          <w:rFonts w:ascii="Times New Roman" w:cs="Times New Roman" w:eastAsia="Times New Roman" w:hAnsi="Times New Roman"/>
          <w:b w:val="false"/>
          <w:bCs w:val="false"/>
          <w:i w:val="false"/>
          <w:iCs w:val="false"/>
          <w:sz w:val="24"/>
          <w:szCs w:val="24"/>
        </w:rPr>
        <w:t xml:space="preserve">Retiradas as entradas por prejuízo operacional, a vantagem da agregação supervisionada deixa de ser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mediana de 0,213 contra 0,326 das que não entram e liquidez corrente de 1,998 contra 1,430: seu balanço é, nas dimensões de estrutura, melhor que o da firma mediana. Um escore cujas maiores cargas são capital de giro, alavancagem e liquidez as classifica como robustas, a ponto de a ordenação se inverter no horizonte de dois anos.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r>
        <w:rPr>
          <w:rFonts w:ascii="Times New Roman" w:cs="Times New Roman" w:eastAsia="Times New Roman" w:hAnsi="Times New Roman"/>
          <w:b w:val="false"/>
          <w:bCs w:val="false"/>
          <w:i w:val="false"/>
          <w:iCs w:val="false"/>
          <w:sz w:val="24"/>
          <w:szCs w:val="24"/>
        </w:rPr>
        <w:t xml:space="preserve"> A multidimensionalidade documentada na avaliação de H1 e o desempenho agregado inferior documentado na de H2 </w:t>
      </w:r>
      <w:r>
        <w:rPr>
          <w:rFonts w:ascii="Times New Roman" w:cs="Times New Roman" w:eastAsia="Times New Roman" w:hAnsi="Times New Roman"/>
          <w:b w:val="false"/>
          <w:bCs w:val="false"/>
          <w:i w:val="false"/>
          <w:iCs w:val="false"/>
          <w:sz w:val="24"/>
          <w:szCs w:val="24"/>
        </w:rPr>
        <w:t xml:space="preserve">são, assim, compatíveis com um mesmo fato observado de dois ângulos</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w:t>
      </w:r>
      <w:r>
        <w:rPr>
          <w:rFonts w:ascii="Times New Roman" w:cs="Times New Roman" w:eastAsia="Times New Roman" w:hAnsi="Times New Roman"/>
          <w:b w:val="false"/>
          <w:bCs w:val="false"/>
          <w:i w:val="false"/>
          <w:iCs w:val="false"/>
          <w:sz w:val="24"/>
          <w:szCs w:val="24"/>
        </w:rPr>
        <w:t xml:space="preserve">revela se o indicador é uniformemente inferior ou fraco em apenas uma das rotas</w:t>
      </w:r>
      <w:r>
        <w:rPr>
          <w:rFonts w:ascii="Times New Roman" w:cs="Times New Roman" w:eastAsia="Times New Roman" w:hAnsi="Times New Roman"/>
          <w:b w:val="false"/>
          <w:bCs w:val="false"/>
          <w:i w:val="false"/>
          <w:iCs w:val="false"/>
          <w:sz w:val="24"/>
          <w:szCs w:val="24"/>
        </w:rPr>
        <w:t xml:space="preserve">,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6.1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6.2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w:t>
      </w:r>
      <w:r>
        <w:rPr>
          <w:rFonts w:ascii="Times New Roman" w:cs="Times New Roman" w:eastAsia="Times New Roman" w:hAnsi="Times New Roman"/>
          <w:b w:val="false"/>
          <w:bCs w:val="false"/>
          <w:i w:val="false"/>
          <w:iCs w:val="false"/>
          <w:sz w:val="24"/>
          <w:szCs w:val="24"/>
        </w:rPr>
        <w:t xml:space="preserve">mas a viabilidade de um exercício econométrico com o índice agregado ainda depende de avaliação própria, anterior a qualquer compromisso com essa extensão.</w:t>
      </w:r>
    </w:p>
    <w:p>
      <w:pPr>
        <w:keepNext/>
        <w:spacing w:after="180" w:before="360" w:line="360"/>
        <w:jc w:val="left"/>
        <w:rPr/>
      </w:pPr>
      <w:r>
        <w:rPr>
          <w:rFonts w:ascii="Times New Roman" w:cs="Times New Roman" w:eastAsia="Times New Roman" w:hAnsi="Times New Roman"/>
          <w:b/>
          <w:bCs/>
          <w:i w:val="false"/>
          <w:iCs w:val="false"/>
          <w:sz w:val="24"/>
          <w:szCs w:val="24"/>
        </w:rPr>
        <w:t xml:space="preserve">Disponibilidade de dados e código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Os painéis foram construídos a partir dos dados abertos da Comissão de Valores Mobiliários: Demonstrações Financeiras Padronizadas, documentos periódicos e eventuais e cadastro de companhias abertas. Os painéis construídos, o código que reproduz todas as tabelas e figuras e a lista das versões das bibliotecas utilizadas estão disponíveis com o autor.</w:t>
      </w:r>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ADALET McGOWAN, M.;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Ministério da Fazenda. Secretaria do Tesouro Nacional. Portaria n. 882, de 18 de dezembro de 2018. Define os conceitos das variáveis utilizadas e os procedimentos a serem adotados na análise da capacidade de pagamento e na apuração da suficiência das contragarantias oferecidas. </w:t>
      </w:r>
      <w:r>
        <w:rPr>
          <w:rFonts w:ascii="Times New Roman" w:cs="Times New Roman" w:eastAsia="Times New Roman" w:hAnsi="Times New Roman"/>
          <w:b w:val="false"/>
          <w:bCs w:val="false"/>
          <w:i w:val="false"/>
          <w:iCs w:val="false"/>
          <w:sz w:val="24"/>
          <w:szCs w:val="24"/>
        </w:rPr>
        <w:t xml:space="preserve">Diário Oficial da União: seção 1, Brasília, DF, n. 244, p. 143, 20 dez.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BRIER, G. W. Verification of forecasts expressed in terms of probability. Monthly Weather Review, v. 78, n. 1, p. 1-3, 1950.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COX, D. R. Two further applications of a model for binary regression. Biometrika, v. 45, n. 3-4, p. 562-565, 1958.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DUNN, O. J. Multiple comparisons among means. Journal of the American Statistical Association, v. 56, n. 293, p. 52-64, 1961.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FIELD, C. A.; WELSH, A. H. Bootstrapping clustered data. Journal of the Royal Statistical Society: Series B (Statistical Methodology), v. 69, n. 3, p. 369-390, 2007.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FRIEDMAN, J. H. Greedy function approximation: a gradient boosting machine. The Annals of Statistics, v. 29, n. 5, p. 1189-1232,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HORN, J. L. A rationale and test for the number of factors in factor analysis. Psychometrika, v. 30, n. 2, p. 179-185, 1965.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JONES, S.; JOHNSTONE, D.; WILSON, R. Predicting corporate bankruptcy: an evaluation of alternative statistical frameworks. Journal of Business Finance &amp; Accounting, v. 44, n. 1-2, p. 3-34, 2017.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KAISER, H. F. The application of electronic computers to factor analysis. Educational and Psychological Measurement, v. 20, n. 1, p. 141-151, 1960.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n. 3,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NICULESCU-MIZIL, A.; CARUANA, R. Predicting good probabilities with supervised learning. In: INTERNATIONAL CONFERENCE ON MACHINE LEARNING, 22., 2005, Bonn. Proceedings [...]. New York: ACM, 2005. p. 625-632.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PEDUZZI, P.; CONCATO, J.; KEMPER, E.; HOLFORD, T. R.; FEINSTEIN, A. R. A simulation study of the number of events per variable in logistic regression analysis. Journal of Clinical Epidemiology, v. 49, n. 12, p. 1373-1379, 1996.</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SAITO, T.; REHMSMEIER, M. The precision-recall plot is more informative than the ROC plot when evaluating binary classifiers on imbalanced datasets. PLOS ONE, v. 10, n. 3, e0118432,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TIAN, S.; YU, Y.; GUO, H. Variable selection and corporate bankruptcy forecasts. Journal of Banking &amp; Finance, v. 52, p. 89-100,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VAN CALSTER, B.; McLERNON, D. J.; VAN SMEDEN, M.; WYNANTS, L.; STEYERBERG, E. W. Calibration: the Achilles heel of predictive analytics. BMC Medicine, v. 17, art. 230, 2019.</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VEGANZONES, D.; SÉVERIN, E. An investigation of bankruptcy prediction in imbalanced datasets. Decision Support Systems, v. 112, p. 111-124,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VICKERS, A. J.; ELKIN, E. B. Decision curve analysis: a novel method for evaluating prediction models. Medical Decision Making, v. 26, n. 6, p. 565-574, 2006.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supl., p. 59-82, 1984.</w:t>
      </w:r>
    </w:p>
    <w:p>
      <w:pPr>
        <w:keepNext/>
        <w:pageBreakBefore/>
        <w:spacing w:after="180" w:before="360" w:line="360"/>
        <w:jc w:val="left"/>
      </w:pPr>
      <w:r>
        <w:rPr>
          <w:rFonts w:ascii="Times New Roman" w:cs="Times New Roman" w:eastAsia="Times New Roman" w:hAnsi="Times New Roman"/>
          <w:b/>
          <w:bCs/>
          <w:i w:val="false"/>
          <w:iCs w:val="false"/>
          <w:sz w:val="24"/>
          <w:szCs w:val="24"/>
        </w:rPr>
        <w:t xml:space="preserve">APÊNDICE A – TABELAS COMPLEMENTARES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Este apêndice reúne as tabelas de validação convergente, de avaliação complementar e de robustez citadas no texto. A numeração segue a ordem em que são mencionadas.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A.1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0,908</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0,433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0,782</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w:t>
      </w:r>
      <w:r>
        <w:rPr>
          <w:rFonts w:ascii="Times New Roman" w:cs="Times New Roman" w:eastAsia="Times New Roman" w:hAnsi="Times New Roman"/>
          <w:b w:val="false"/>
          <w:bCs w:val="false"/>
          <w:i w:val="false"/>
          <w:iCs w:val="false"/>
          <w:sz w:val="20"/>
          <w:szCs w:val="20"/>
        </w:rPr>
        <w:t xml:space="preserve">abrangendo 2.254 firma-anos, ou 30,4% do painel</w:t>
      </w:r>
      <w:r>
        <w:rPr>
          <w:rFonts w:ascii="Times New Roman" w:cs="Times New Roman" w:eastAsia="Times New Roman" w:hAnsi="Times New Roman"/>
          <w:b w:val="false"/>
          <w:bCs w:val="false"/>
          <w:i w:val="false"/>
          <w:iCs w:val="false"/>
          <w:sz w:val="20"/>
          <w:szCs w:val="20"/>
        </w:rPr>
        <w:t xml:space="preserve">. Ambos os escores são construídos por componentes principais sobre o painel completo. Estatísticas de Kolmogorov-Smirnov significativas a menos de 1%.</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A.2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0,755</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A.3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 +0,265]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0,708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 +0,259]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[+0,045; +0,252]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3.250 observações; teste com desfechos de 2022 a 2025, 40 entradas em 1.796 observações no horizonte de um ano e 34 em 1.617 no de dois. Parâmetros não supervisionados estimados apenas com exercícios anteriores ao corte. Intervalos por bootstrap agrupado por firma; no horizonte de dois anos nenhuma diferença é significativa.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A.4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4.980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A.5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2971"/>
        <w:gridCol w:w="900"/>
        <w:gridCol w:w="1000"/>
        <w:gridCol w:w="1000"/>
        <w:gridCol w:w="1000"/>
        <w:gridCol w:w="1200"/>
        <w:gridCol w:w="1000"/>
      </w:tblGrid>
      <w:tr>
        <w:trPr>
          <w:tblHeader/>
        </w:trPr>
        <w:tc>
          <w:tcPr>
            <w:tcW w:type="dxa" w:w="29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por dificuldade financeira segundo o cadastro,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0,871</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 Na quarta linha, a saída associada a dificuldade financeira é identificada pela recuperação judicial registrada ou pela vulnerabilidade nas duas últimas observações; na quinta, pelo motivo do cancelamento no cadastro de companhias abertas.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A.6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5.046 observações e 149 entradas. Todas as especificações são estimadas por probit dentro de cada partição, o que explica pequenas diferenças em relação à Tabela 8.</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png"/><Relationship Id="rId9" Type="http://schemas.openxmlformats.org/officeDocument/2006/relationships/image" Target="media/b291c90bff9762b12cfefcdeb9eaac8533714c5a.png"/><Relationship Id="rId10" Type="http://schemas.openxmlformats.org/officeDocument/2006/relationships/image" Target="media/3ab7c6cb8597d455db6346b3735271e56b951752.png"/><Relationship Id="rId11" Type="http://schemas.openxmlformats.org/officeDocument/2006/relationships/fontTable" Target="fontTable.xml"/><Relationship Id="rId12" Type="http://schemas.openxmlformats.org/officeDocument/2006/relationships/image" Target="media/decomposica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