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7.403 observações firma-ano de 727 companhias abertas não financeiras brasileiras entre 2010 e 2025. Sobre o agregado dos eventos a agregação não se justifica: a área sob a curva ROC do escore é de 0,763, contra 0,894 da cobertura de juros e 0,874 do retorno sobre ativos, em conclusão que se mantém sob validação cruzada agrupada por firma e sob avaliação temporal. </w:t>
      </w:r>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r>
        <w:rPr>
          <w:rFonts w:ascii="Times New Roman" w:cs="Times New Roman" w:eastAsia="Times New Roman" w:hAnsi="Times New Roman"/>
          <w:b w:val="false"/>
          <w:bCs w:val="false"/>
          <w:i w:val="false"/>
          <w:iCs w:val="false"/>
          <w:sz w:val="24"/>
          <w:szCs w:val="24"/>
        </w:rPr>
        <w:t xml:space="preserve">Nas entradas por prejuízo operacional persistente o escore fica 0,33 ponto atrás da cobertura de juros em um ano, contraste em que pesa a sobreposição mecânica entre o evento e os preditores, e 0,15 ponto atrás em dois anos;</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pPr>
      <w:r>
        <w:rPr>
          <w:rFonts w:ascii="Times New Roman" w:cs="Times New Roman" w:eastAsia="Times New Roman" w:hAnsi="Times New Roman"/>
          <w:b/>
          <w:bCs/>
          <w:i w:val="false"/>
          <w:iCs w:val="false"/>
          <w:sz w:val="24"/>
          <w:szCs w:val="24"/>
        </w:rPr>
        <w:t xml:space="preserve">Classificação JEL: </w:t>
      </w:r>
      <w:r>
        <w:rPr>
          <w:rFonts w:ascii="Times New Roman" w:cs="Times New Roman" w:eastAsia="Times New Roman" w:hAnsi="Times New Roman"/>
          <w:b w:val="false"/>
          <w:bCs w:val="false"/>
          <w:i w:val="false"/>
          <w:iCs w:val="false"/>
          <w:sz w:val="24"/>
          <w:szCs w:val="24"/>
        </w:rPr>
        <w:t xml:space="preserve">G33; G32; C38; C53; E12.</w:t>
      </w:r>
    </w:p>
    <w:p>
      <w:pPr>
        <w:spacing w:after="120" w:before="0" w:line="360"/>
        <w:jc w:val="left"/>
        <w:rPr/>
      </w:pPr>
      <w:r>
        <w:rPr>
          <w:rFonts w:ascii="Times New Roman" w:cs="Times New Roman" w:eastAsia="Times New Roman" w:hAnsi="Times New Roman"/>
          <w:b/>
          <w:bCs/>
          <w:i w:val="false"/>
          <w:iCs w:val="false"/>
          <w:sz w:val="24"/>
          <w:szCs w:val="24"/>
        </w:rPr>
        <w:t xml:space="preserve">Abstract</w:t>
      </w:r>
    </w:p>
    <w:p>
      <w:pPr>
        <w:spacing w:after="0" w:before="0" w:line="360"/>
        <w:jc w:val="both"/>
        <w:rPr/>
      </w:pPr>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7,403 firm-year observations from 727 Brazilian non-financial listed companies between 2010 and 2025. Over the pooled set of events, aggregation is not justified: the area under the ROC curve of the score is 0.763,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0.33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p>
    <w:p>
      <w:pPr>
        <w:spacing w:after="240" w:before="180" w:line="360"/>
        <w:jc w:val="both"/>
        <w:rPr/>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Esses episódios não são isolados. Entre 2010 e 2025, em média 43,4% das companhias abertas não financeiras com despesa financeira registraram, a cada ano, resultado operacional inferior às despesas financeiras, isto é, cobertura de juros abaixo da unidade. A parcela passou de 32,0% em 2010 para 62,8% em 2015, no auge da recessão, e permaneceu acima de 40% na maior parte dos anos seguintes. No mesmo período, 72 companhias recorreram à recuperação judicial ou extrajudicial, e cerca de três em cada dez registraram prejuízo líquido em um ano típico. A seção 2 detalha esse panorama.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 Nem a análise de componentes principais nem sua contraparte supervisionada são métodos novos; o que se examina é o uso que se faz deles quando aplicados ao mesmo conjunto de indicadores e avaliados sob as mesmas condições.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7.403 observações firma-ano, cobrindo 727 companhias abertas não financeiras entre 2010 e 2025. As firmas que deixam o painel ao longo do período são mantidas até seu último exercício observado, decisão relevante: </w:t>
      </w:r>
      <w:r>
        <w:rPr>
          <w:rFonts w:ascii="Times New Roman" w:cs="Times New Roman" w:eastAsia="Times New Roman" w:hAnsi="Times New Roman"/>
          <w:b w:val="false"/>
          <w:bCs w:val="false"/>
          <w:i w:val="false"/>
          <w:iCs w:val="false"/>
          <w:sz w:val="24"/>
          <w:szCs w:val="24"/>
        </w:rPr>
        <w:t xml:space="preserve">entre as que saem, 32,0% estavam em situação de vulnerabilidade na última observação, contra 14,4% entre as que permanecem. Oito</w:t>
      </w:r>
      <w:r>
        <w:rPr>
          <w:rFonts w:ascii="Times New Roman" w:cs="Times New Roman" w:eastAsia="Times New Roman" w:hAnsi="Times New Roman"/>
          <w:b w:val="false"/>
          <w:bCs w:val="false"/>
          <w:i w:val="false"/>
          <w:iCs w:val="false"/>
          <w:sz w:val="24"/>
          <w:szCs w:val="24"/>
        </w:rPr>
        <w:t xml:space="preserve">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0,763 fora da amostra, contra 0,894 da cobertura de juros e 0,874 do retorno sobre ativos, e o escore também</w:t>
      </w:r>
      <w:r>
        <w:rPr>
          <w:rFonts w:ascii="Times New Roman" w:cs="Times New Roman" w:eastAsia="Times New Roman" w:hAnsi="Times New Roman"/>
          <w:b w:val="false"/>
          <w:bCs w:val="false"/>
          <w:i w:val="false"/>
          <w:iCs w:val="false"/>
          <w:sz w:val="24"/>
          <w:szCs w:val="24"/>
        </w:rPr>
        <w:t xml:space="preserve"> fica abaixo dessas duas métricas sob avaliação temporal.</w:t>
      </w:r>
      <w:r>
        <w:rPr>
          <w:rFonts w:ascii="Times New Roman" w:cs="Times New Roman" w:eastAsia="Times New Roman" w:hAnsi="Times New Roman"/>
          <w:b w:val="false"/>
          <w:bCs w:val="false"/>
          <w:i w:val="false"/>
          <w:iCs w:val="false"/>
          <w:sz w:val="24"/>
          <w:szCs w:val="24"/>
        </w:rPr>
        <w:t xml:space="preserve"> O escore, contudo, reúne as três propriedades que se esperariam de um bom indicador sintético: coerência teórica, com todas as cargas do primeiro componente no sentido esperado; estrutura interpretável, discriminando a posição financeira minskyana </w:t>
      </w:r>
      <w:r>
        <w:rPr>
          <w:rFonts w:ascii="Times New Roman" w:cs="Times New Roman" w:eastAsia="Times New Roman" w:hAnsi="Times New Roman"/>
          <w:b w:val="false"/>
          <w:bCs w:val="false"/>
          <w:i w:val="false"/>
          <w:iCs w:val="false"/>
          <w:sz w:val="24"/>
          <w:szCs w:val="24"/>
        </w:rPr>
        <w:t xml:space="preserve">com área sob a curva de 0,781, ou 0,768 quando excluído</w:t>
      </w:r>
      <w:r>
        <w:rPr>
          <w:rFonts w:ascii="Times New Roman" w:cs="Times New Roman" w:eastAsia="Times New Roman" w:hAnsi="Times New Roman"/>
          <w:b w:val="false"/>
          <w:bCs w:val="false"/>
          <w:i w:val="false"/>
          <w:iCs w:val="false"/>
          <w:sz w:val="24"/>
          <w:szCs w:val="24"/>
        </w:rPr>
        <w:t xml:space="preserve"> o indicador que define essa posição; e conteúdo preditivo, </w:t>
      </w:r>
      <w:r>
        <w:rPr>
          <w:rFonts w:ascii="Times New Roman" w:cs="Times New Roman" w:eastAsia="Times New Roman" w:hAnsi="Times New Roman"/>
          <w:b w:val="false"/>
          <w:bCs w:val="false"/>
          <w:i w:val="false"/>
          <w:iCs w:val="false"/>
          <w:sz w:val="24"/>
          <w:szCs w:val="24"/>
        </w:rPr>
        <w:t xml:space="preserve">antecipando a entrada com p &lt; 0,001.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0,647 contra 0,973 da cobertura de juros em um ano, diferença de 0,327 ponto em boa parte mecânica,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1,429 e capital de giro superior à mediana geral. Como o primeiro componente carrega sobretudo indicadores de estrutura patrimonial, como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 ponto de vista do desenho, o exercício se distingue da literatura nacional em cinco aspectos. Constrói um fator latente por redução de dimensionalidade, onde predominam indicadores isolados ou combinações fixadas de forma ad hoc. Adota a vulnerabilidade como alvo, e não o default, o que desloca a predição para um estágio em que a intervenção ainda é possível. Utiliza as Demonstrações Financeiras Padronizadas como painel sistemático, em lugar de amostras pareadas de dezenas de firmas. Trata a saída do painel como censura informativa e risco competitivo, e não apenas como viés de sobrevivência. E testa a superioridade contra benchmarks pré-especificados, com inferência por bootstrap agrupado por firma e correção para comparações múltiplas.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apresenta o panorama da dificuldade financeira das companhias abertas brasileiras no período. A seção 3 organiza a literatura em dois pilares, o da medição não supervisionada da fragilidade e o da previsão supervisionada, e explicita o que a comparação entre eles mede. A seção 4 apresenta a metodologia, as hipóteses e o calendário informacional que sustenta a interpretação preditiva. A seção 5 descreve a base de dados. A seção 6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7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Panorama da fragilidade financeira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investigação, convém situar o objeto. Esta seção descreve, com o mesmo painel utilizado nos testes, a evolução de quatro sinais de dificuldade financeira entre as companhias abertas não financeiras brasileiras de 2010 a 2025: a cobertura de juros inferior à unidade, o EBITDA negativo, o patrimônio líquido negativo e o recurso à recuperação judicial ou extrajudicial. A descrição é deliberadamente simples e não depende de estimação alguma.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Figura 1 mostra que a parcela de companhias com cobertura de juros inferior à unidade, isto é, com resultado operacional insuficiente para pagar as despesas financeiras do exercício, oscilou entre 32,0%, em 2010, e 62,8%, em 2015, com média de 43,4% no período. O salto coincide com a recessão de 2015-2016: entre 2014 e 2015, a parcela passou de 45,3% para 62,8%, manteve-se em 60,0% em 2016 e só voltou a patamar inferior a 45% em 2018. A parcela com EBITDA negativo acompanha o mesmo ciclo em nível mais baixo, com máximo de 17,5% em 2015, e a de patrimônio líquido negativo cresce de forma mais lenta e persistente, de 5,6% em 2010 a 12,6% em 2017, e fica entre 8% e 10% a partir de 2021. A pandemia de 2020, que Silber (2020) discute como choque exógeno capaz de desorganizar a economia e destruir empresas, produz efeito mais modesto e passageiro sobre a cobertura de juros: a parcela inferior à unidade passa de 39,4% em 2019 para 41,4% em 2020 e recua para 33,9% em 2021.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Sinais de dificuldade financeira das companhias abertas não financeiras, 2010-2025</w:t>
      </w:r>
    </w:p>
    <w:p>
      <w:pPr>
        <w:spacing w:after="60" w:before="120"/>
        <w:jc w:val="center"/>
      </w:pPr>
      <w:r>
        <w:drawing>
          <wp:inline distT="0" distB="0" distL="0" distR="0">
            <wp:extent cx="5486400" cy="4876800"/>
            <wp:effectExtent t="0" r="0" b="0" l="0"/>
            <wp:docPr id="102" name="Figura 1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87680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e dos documentos periódicos e eventuais (CVM). Faixas sombreadas: recessão de 2015-2016 e pandemia de 2020. A cobertura de juros é calculada entre as companhias com despesa financeira. Painel (b): companhias do painel, pelo ano do primeiro documento que menciona a recuperação.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recuperações judiciais e extrajudiciais, datadas pelo primeiro documento da companhia que as menciona, somam 72 companhias do painel no período. A distribuição anual é irregular, com sete casos em 2014 e em 2018 e 11 em 2024, três deles de um mesmo grupo têxtil. A Tabela 1 resume os indicadores por subperíodo. A recessão de 2015-2016 eleva todos os sinais ao mesmo tempo. Nos anos seguintes, a cobertura de juros e o EBITDA voltam a patamares próximos ou inferiores aos do início do período, mas o patrimônio líquido negativo permanece mais frequente do que em 2010-2014, e a alavancagem mediana, depois de recuar, volta a subir em 2022-2025, em linha com a relação positiva entre crises financeiras e alavancagem das companhias brasileiras documentada por Franzotti et al. (2021) para as crises de 2002, 2008 e 2015.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Sinais de dificuldade financeira das companhias abertas não financeiras, por subperíodo (2010-2025)</w:t>
      </w:r>
    </w:p>
    <w:tbl>
      <w:tblPr>
        <w:tblW w:type="dxa" w:w="9071"/>
        <w:tblBorders>
          <w:top w:val="single" w:sz="6"/>
          <w:left w:val="none" w:sz="0"/>
          <w:bottom w:val="single" w:sz="6"/>
          <w:right w:val="none" w:sz="0"/>
          <w:insideH w:val="single" w:color="BFBFBF" w:sz="2"/>
          <w:insideV w:val="none" w:sz="0"/>
        </w:tblBorders>
      </w:tblPr>
      <w:tblGrid>
        <w:gridCol w:w="1100"/>
        <w:gridCol w:w="1300"/>
        <w:gridCol w:w="1100"/>
        <w:gridCol w:w="1000"/>
        <w:gridCol w:w="700"/>
        <w:gridCol w:w="1000"/>
        <w:gridCol w:w="1450"/>
        <w:gridCol w:w="1421"/>
      </w:tblGrid>
      <w:tr>
        <w:trPr>
          <w:tblHeader/>
        </w:trPr>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Período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Companhias por ano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de juros &lt; 1 (%)</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EBITDA &lt; 0 (%)</w:t>
            </w:r>
          </w:p>
        </w:tc>
        <w:tc>
          <w:tcPr>
            <w:tcW w:type="dxa" w:w="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 &lt; 0 (%)</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Prejuízo líquido (%)</w:t>
            </w:r>
          </w:p>
        </w:tc>
        <w:tc>
          <w:tcPr>
            <w:tcW w:type="dxa" w:w="14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Alavancagem mediana</w:t>
            </w:r>
          </w:p>
        </w:tc>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Recuperações</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2010–2014</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11,7</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29,7</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2015–2016</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61,4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16,1</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2017–2019</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12,7</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30,0</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2020–2021</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537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9,0</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28,4</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0,311</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2022–2025</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0,346</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e dos documentos periódicos e eventuais (CVM). Percentuais sobre as companhias do painel em cada ano do subperíodo. Cobertura de juros: EBIT sobre o valor absoluto das despesas financeiras, entre as companhias com despesa financeira. Alavancagem: dívida bruta sobre ativo total. Recuperações: companhias cujo primeiro documento de recuperação judicial ou extrajudicial é do subperíodo.</w:t>
      </w:r>
      <w:r>
        <w:rPr>
          <w:rFonts w:ascii="Times New Roman" w:cs="Times New Roman" w:eastAsia="Times New Roman" w:hAnsi="Times New Roman"/>
          <w:b w:val="false"/>
          <w:bCs w:val="false"/>
          <w:i w:val="false"/>
          <w:iCs w:val="false"/>
          <w:sz w:val="20"/>
          <w:szCs w:val="20"/>
        </w:rPr>
        <w:t xml:space="preserve"/>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traços do panorama orientam o que se segue. Os sinais não se movem juntos: a cobertura de juros e o EBITDA respondem ao ciclo, ao passo que o patrimônio líquido negativo se acumula mais lentamente, o que antecipa a distinção entre rotas de deterioração explorada na subseção 6.5. E a dificuldade financeira é disseminada, e não restrita aos casos de maior repercussão, o que justifica medi-la em escala contínua e avaliá-la sobre todo o universo de companhias abertas, e não apenas sobre amostras de firmas que chegaram ao default. Os números referem-se às companhias do painel descrito na subseção 5.1; a datação da recuperação judicial segue a regra da subseção 4.6, e as limitações dessa detecção estão na subseção 6.9.</w:t>
      </w:r>
    </w:p>
    <w:p>
      <w:pPr>
        <w:keepNext/>
        <w:spacing w:after="180" w:before="360" w:line="360"/>
        <w:jc w:val="left"/>
      </w:pPr>
      <w:r>
        <w:rPr>
          <w:rFonts w:ascii="Times New Roman" w:cs="Times New Roman" w:eastAsia="Times New Roman" w:hAnsi="Times New Roman"/>
          <w:b/>
          <w:bCs/>
          <w:i w:val="false"/>
          <w:iCs w:val="false"/>
          <w:sz w:val="24"/>
          <w:szCs w:val="24"/>
        </w:rPr>
        <w:t xml:space="preserve">3. Medir e prever a fragilidade financeira: dois pilares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dificuldade financeira de empresas organiza-se em torno de duas propostas distintas. A primeira mede a fragilidade sem consultar o desfecho, a partir de uma estrutura teórica ou da covariância entre indicadores, e tem na hipótese de instabilidade financeira de Minsky sua principal referência: é o pilar não supervisionado. A segunda estima pesos para prever um desfecho observado, como a falência ou a recuperação judicial: é o pilar supervisionado, da tradição de predição de insolvência. As duas diferem no objetivo, no uso da informação e no critério de êxito, e é a comparação entre elas que se examina adiante. A subseção 3.1 delimita os conceitos, as subseções 3.2 e 3.3 percorrem os dois pilares, sempre na perspectiva da fragilidade e da vulnerabilidade financeira, e a subseção 3.4 explicita o que a comparação mede.</w:t>
      </w:r>
    </w:p>
    <w:p>
      <w:pPr>
        <w:keepNext/>
        <w:spacing w:after="120" w:before="240" w:line="360"/>
        <w:jc w:val="left"/>
      </w:pPr>
      <w:r>
        <w:rPr>
          <w:rFonts w:ascii="Times New Roman" w:cs="Times New Roman" w:eastAsia="Times New Roman" w:hAnsi="Times New Roman"/>
          <w:b w:val="false"/>
          <w:bCs w:val="false"/>
          <w:i/>
          <w:iCs/>
          <w:sz w:val="24"/>
          <w:szCs w:val="24"/>
        </w:rPr>
        <w:t xml:space="preserve">3.1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Álvarez, García-Posada e Mayordomo (2023) adotam taxonomia próxima para empresas espanholas: a firma em distress apresenta ao mesmo tempo insolvência de fluxo de caixa e insolvência patrimonial, e a firma zumbi é a firma em distress que recebeu crédito novo. A distinção entre as duas formas de insolvência reaparece, neste trabalho, nas rotas de deterioração por prejuízo operacional e por patrimônio líquido negativo.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3.2 Pilar não supervisionado: medir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r>
        <w:rPr>
          <w:rFonts w:ascii="Times New Roman" w:cs="Times New Roman" w:eastAsia="Times New Roman" w:hAnsi="Times New Roman"/>
          <w:b w:val="false"/>
          <w:bCs w:val="false"/>
          <w:i w:val="false"/>
          <w:iCs w:val="false"/>
          <w:sz w:val="24"/>
          <w:szCs w:val="24"/>
        </w:rPr>
        <w:t xml:space="preserve"> Mulligan (2013) </w:t>
      </w:r>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 Novikova e Rozmainsky (2020) acompanham os regimes de financiamento de 42 grandes companhias não financeiras portuguesas entre 2001 e 2017 e documentam a redução da parcela em posição hedge e o aumento dos regimes frágeis antes e durante a Grande Recessão. Bibi e Chandorkar (2025) constroem indicadores minskyanos para 59 companhias listadas na bolsa peruana entre 2003 e 2023 e encontram exposições à fragilidade financeira distintas entre setores.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r>
        <w:rPr>
          <w:rFonts w:ascii="Times New Roman" w:cs="Times New Roman" w:eastAsia="Times New Roman" w:hAnsi="Times New Roman"/>
          <w:b w:val="false"/>
          <w:bCs w:val="false"/>
          <w:i w:val="false"/>
          <w:iCs w:val="false"/>
          <w:sz w:val="24"/>
          <w:szCs w:val="24"/>
        </w:rPr>
        <w:t xml:space="preserve"> Mantoan, Centeno e Feijó (2021) </w:t>
      </w:r>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 Rolim, Cattan e Antonioli (2021) examinam dezenove setores das companhias abertas não financeiras brasileiras entre 2010 e 2016 e encontram redução das firmas em posição hedge e aumento das especulativas e Ponzi no período de reversão do ciclo, com padrões setoriais distintos. No plano agregado, Teixeira, Tiryaki e Drummond (2020) derivam um indicador de fragilidade financeira para o Brasil por modelo de fator dinâmico, com dados mensais de 1996 a 2018, e mostram que seu aumento compromete o desempenho macroeconômico: é outra aplicação da redução de dimensionalidade à mensuração da fragilidade.</w:t>
      </w:r>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4.3, o critério de cobertura de juros inferior à unidade por dois exercícios consecutivos, utilizado aqui como validação convergente do indicador, por critério externo à variável dependente e não utilizado na calibração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mesmo pilar reúne outras medidas construídas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 Banerjee e Hofmann (2022) mostram, para companhias abertas não financeiras de 14 economias avançadas, que as firmas assim classificadas são menores, menos produtivas e mais alavancadas, e que seu desempenho se deteriora vários anos antes da classificação.</w:t>
      </w:r>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keepNext/>
        <w:spacing w:after="120" w:before="240" w:line="360"/>
        <w:jc w:val="left"/>
      </w:pPr>
      <w:r>
        <w:rPr>
          <w:rFonts w:ascii="Times New Roman" w:cs="Times New Roman" w:eastAsia="Times New Roman" w:hAnsi="Times New Roman"/>
          <w:b w:val="false"/>
          <w:bCs w:val="false"/>
          <w:i/>
          <w:iCs/>
          <w:sz w:val="24"/>
          <w:szCs w:val="24"/>
        </w:rPr>
        <w:t xml:space="preserve">3.3 Pilar supervisionado: prever a dificuldade financeira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6.3.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Predebom, Bianchi e Machado (2025) relacionam as fases do ciclo econômico à insolvência das companhias listadas na B3 entre 2010 e 2019, medida pelo escore Z, e encontram que o ciclo altera a relação entre insolvência e gerenciamento de resultados. Oliveira e Diniz (2025), com 1.369 observações de companhias abertas brasileiras entre 2010 e 2019, mostram que as firmas em insolvência, medida por quatro modelos, são significativamente mais propensas a violar cláusulas financeiras de contratos de dívida.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6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6.7.</w:t>
      </w:r>
      <w:r>
        <w:rPr>
          <w:rFonts w:ascii="Times New Roman" w:cs="Times New Roman" w:eastAsia="Times New Roman" w:hAnsi="Times New Roman"/>
          <w:b w:val="false"/>
          <w:bCs w:val="false"/>
          <w:i w:val="false"/>
          <w:iCs w:val="false"/>
          <w:sz w:val="24"/>
          <w:szCs w:val="24"/>
        </w:rPr>
        <w:t xml:space="preserve"> Mais recentemente, Jabeur et al. (2021) comparam um modelo de árvores impulsionadas para dados categóricos, o CatBoost, com oito modelos de referência a um, dois e três anos da falência e reportam ganho de classificação, e Shetty, Musa e Brédart (2022) alcançam acurácia de 82% a 83% em pequenas e médias empresas belgas com apenas três razões contábeis: retorno sobre ativos, liquidez corrente e solvência.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3.4 Duas propostas, uma comparação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técnicas não são intercambiáveis, e a comparação precisa ser lida com isso em mente. A análise de componentes principais busca a direção que melhor resume a variação conjunta dos indicadores, sem saber quais firmas entraram em vulnerabilidade; os mínimos quadrados parciais buscam a direção que melhor acompanha o desfecho, e por isso usam uma informação que a primeira não usa. A comparação não pergunta qual técnica é melhor em abstrato. Mantidos fixos os oito indicadores, o pré-processamento, a amostra e o procedimento de avaliação fora da amostra, a diferença de desempenho entre os dois escores mede quanto vale, na ponderação dos indicadores, a informação contida no desfecho. Nenhuma das duas técnicas é nova, e a contribuição não está nelas, mas na comparação controlada e na decomposição do resultado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que organiza a contribuição é a relação entre os dois pilares.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6.5.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Nenhum dos trabalhos revisados reporta desempenho separado por critério de definição do evento.</w:t>
      </w:r>
    </w:p>
    <w:p>
      <w:pPr>
        <w:keepNext/>
        <w:spacing w:after="180" w:before="360" w:line="360"/>
        <w:jc w:val="left"/>
      </w:pPr>
      <w:r>
        <w:rPr>
          <w:rFonts w:ascii="Times New Roman" w:cs="Times New Roman" w:eastAsia="Times New Roman" w:hAnsi="Times New Roman"/>
          <w:b/>
          <w:bCs/>
          <w:i w:val="false"/>
          <w:iCs w:val="false"/>
          <w:sz w:val="24"/>
          <w:szCs w:val="24"/>
        </w:rPr>
        <w:t xml:space="preserve">4.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4.1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2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sSubSup>
          <m:e>
            <m:r>
              <m:t xml:space="preserve">x</m:t>
            </m:r>
          </m:e>
          <m:sub>
            <m:r>
              <m:t xml:space="preserve">k</m:t>
            </m:r>
          </m:sub>
          <m:sup>
            <m:r>
              <m:t xml:space="preserve">*</m:t>
            </m:r>
          </m:sup>
        </m:sSubSup>
        <m:d>
          <m:dPr>
            <m:begChr m:val="("/>
            <m:endChr m:val=")"/>
          </m:dPr>
          <m:e>
            <m:r>
              <m:t xml:space="preserve">i,t</m:t>
            </m:r>
          </m:e>
        </m:d>
        <m:r>
          <m:t xml:space="preserve">=</m:t>
        </m:r>
        <m:f>
          <m:num>
            <m:sSub>
              <m:e>
                <m:r>
                  <m:t xml:space="preserve">x</m:t>
                </m:r>
              </m:e>
              <m:sub>
                <m:r>
                  <m:t xml:space="preserve">k</m:t>
                </m:r>
              </m:sub>
            </m:sSub>
            <m:d>
              <m:dPr>
                <m:begChr m:val="("/>
                <m:endChr m:val=")"/>
              </m:dPr>
              <m:e>
                <m:r>
                  <m:t xml:space="preserve">i,t</m:t>
                </m:r>
              </m:e>
            </m:d>
            <m:r>
              <m:t xml:space="preserve">−</m:t>
            </m:r>
            <m:sSub>
              <m:e>
                <m:r>
                  <m:t xml:space="preserve">μ</m:t>
                </m:r>
              </m:e>
              <m:sub>
                <m:r>
                  <m:t xml:space="preserve">k</m:t>
                </m:r>
              </m:sub>
            </m:sSub>
          </m:num>
          <m:den>
            <m:sSub>
              <m:e>
                <m:r>
                  <m:t xml:space="preserve">σ</m:t>
                </m:r>
              </m:e>
              <m:sub>
                <m:r>
                  <m:t xml:space="preserve">k</m:t>
                </m:r>
              </m:sub>
            </m:sSub>
          </m:den>
        </m:f>
      </m:oMath>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4.2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r>
          <m:t xml:space="preserve">F</m:t>
        </m:r>
        <m:d>
          <m:dPr>
            <m:begChr m:val="("/>
            <m:endChr m:val=")"/>
          </m:dPr>
          <m:e>
            <m:r>
              <m:t xml:space="preserve">i,t</m:t>
            </m:r>
          </m:e>
        </m:d>
        <m:r>
          <m:t xml:space="preserve">=</m:t>
        </m:r>
        <m:sSubSup>
          <m:e>
            <m:r>
              <m:t xml:space="preserve">v</m:t>
            </m:r>
          </m:e>
          <m:sub>
            <m:r>
              <m:rPr>
                <m:sty m:val="p"/>
              </m:rPr>
              <m:t xml:space="preserve">1</m:t>
            </m:r>
          </m:sub>
          <m:sup>
            <m:r>
              <m:t xml:space="preserve">′</m:t>
            </m:r>
          </m:sup>
        </m:sSubSup>
        <m:sSup>
          <m:e>
            <m:r>
              <m:t xml:space="preserve">x</m:t>
            </m:r>
          </m:e>
          <m:sup>
            <m:r>
              <m:t xml:space="preserve">*</m:t>
            </m:r>
          </m:sup>
        </m:sSup>
        <m:d>
          <m:dPr>
            <m:begChr m:val="("/>
            <m:endChr m:val=")"/>
          </m:dPr>
          <m:e>
            <m:r>
              <m:t xml:space="preserve">i,t</m:t>
            </m:r>
          </m:e>
        </m:d>
      </m:oMath>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4.3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3.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6.4.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15,1% refere-se à presença no estado de vulnerabilidade, e não à incidência de entradas. </w:t>
      </w:r>
      <w:r>
        <w:rPr>
          <w:rFonts w:ascii="Times New Roman" w:cs="Times New Roman" w:eastAsia="Times New Roman" w:hAnsi="Times New Roman"/>
          <w:b w:val="false"/>
          <w:bCs w:val="false"/>
          <w:i w:val="false"/>
          <w:iCs w:val="false"/>
          <w:sz w:val="24"/>
          <w:szCs w:val="24"/>
        </w:rPr>
        <w:t xml:space="preserve">A conversão de uma medida na outra é tratada na subseção 5.3,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6.9.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4.4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r>
          <m:t xml:space="preserve">P</m:t>
        </m:r>
        <m:d>
          <m:dPr>
            <m:begChr m:val="["/>
            <m:sepChr m:val="|"/>
            <m:endChr m:val="]"/>
          </m:dPr>
          <m:e>
            <m:r>
              <m:t xml:space="preserve">V</m:t>
            </m:r>
            <m:d>
              <m:dPr>
                <m:begChr m:val="("/>
                <m:endChr m:val=")"/>
              </m:dPr>
              <m:e>
                <m:r>
                  <m:t xml:space="preserve">i,t+h</m:t>
                </m:r>
              </m:e>
            </m:d>
            <m:r>
              <m:t xml:space="preserve">=1</m:t>
            </m:r>
          </m:e>
          <m:e>
            <m:r>
              <m:t xml:space="preserve">F</m:t>
            </m:r>
            <m:d>
              <m:dPr>
                <m:begChr m:val="("/>
                <m:endChr m:val=")"/>
              </m:dPr>
              <m:e>
                <m:r>
                  <m:t xml:space="preserve">i,t</m:t>
                </m:r>
              </m:e>
            </m:d>
            <m:r>
              <m:t xml:space="preserve">, Z</m:t>
            </m:r>
            <m:d>
              <m:dPr>
                <m:begChr m:val="("/>
                <m:endChr m:val=")"/>
              </m:dPr>
              <m:e>
                <m:r>
                  <m:t xml:space="preserve">i,t</m:t>
                </m:r>
              </m:e>
            </m:d>
          </m:e>
        </m:d>
        <m:r>
          <m:t xml:space="preserve">=Φ</m:t>
        </m:r>
        <m:d>
          <m:dPr>
            <m:begChr m:val="("/>
            <m:endChr m:val=")"/>
          </m:dPr>
          <m:e>
            <m:r>
              <m:t xml:space="preserve">α+β F</m:t>
            </m:r>
            <m:d>
              <m:dPr>
                <m:begChr m:val="("/>
                <m:endChr m:val=")"/>
              </m:dPr>
              <m:e>
                <m:r>
                  <m:t xml:space="preserve">i,t</m:t>
                </m:r>
              </m:e>
            </m:d>
            <m:r>
              <m:t xml:space="preserve">+</m:t>
            </m:r>
            <m:sSup>
              <m:e>
                <m:r>
                  <m:t xml:space="preserve">γ</m:t>
                </m:r>
              </m:e>
              <m:sup>
                <m:r>
                  <m:t xml:space="preserve">′</m:t>
                </m:r>
              </m:sup>
            </m:sSup>
            <m:r>
              <m:t xml:space="preserve">Z</m:t>
            </m:r>
            <m:d>
              <m:dPr>
                <m:begChr m:val="("/>
                <m:endChr m:val=")"/>
              </m:dPr>
              <m:e>
                <m:r>
                  <m:t xml:space="preserve">i,t</m:t>
                </m:r>
              </m:e>
            </m:d>
          </m:e>
        </m:d>
      </m:oMath>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r>
        <w:rPr>
          <w:rFonts w:ascii="Times New Roman" w:cs="Times New Roman" w:eastAsia="Times New Roman" w:hAnsi="Times New Roman"/>
          <w:b w:val="false"/>
          <w:bCs w:val="false"/>
          <w:i w:val="false"/>
          <w:iCs w:val="false"/>
          <w:sz w:val="24"/>
          <w:szCs w:val="24"/>
        </w:rPr>
        <w:t xml:space="preserve">(HANLEY; McNEIL, 1982)</w:t>
      </w:r>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r>
        <w:rPr>
          <w:rFonts w:ascii="Times New Roman" w:cs="Times New Roman" w:eastAsia="Times New Roman" w:hAnsi="Times New Roman"/>
          <w:b w:val="false"/>
          <w:bCs w:val="false"/>
          <w:i w:val="false"/>
          <w:iCs w:val="false"/>
          <w:sz w:val="24"/>
          <w:szCs w:val="24"/>
        </w:rPr>
        <w:t xml:space="preserve">de aproximadamente 3%</w:t>
      </w:r>
      <w:r>
        <w:rPr>
          <w:rFonts w:ascii="Times New Roman" w:cs="Times New Roman" w:eastAsia="Times New Roman" w:hAnsi="Times New Roman"/>
          <w:b w:val="false"/>
          <w:bCs w:val="false"/>
          <w:i w:val="false"/>
          <w:iCs w:val="false"/>
          <w:sz w:val="24"/>
          <w:szCs w:val="24"/>
        </w:rPr>
        <w:t xml:space="preserve">, a área sob a curva é complementada na subseção 6.7 por métricas sensíveis à prevalência e à qualidade das probabilidades: </w:t>
      </w:r>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r>
        <w:rPr>
          <w:rFonts w:ascii="Times New Roman" w:cs="Times New Roman" w:eastAsia="Times New Roman" w:hAnsi="Times New Roman"/>
          <w:b w:val="false"/>
          <w:bCs w:val="false"/>
          <w:i w:val="false"/>
          <w:iCs w:val="false"/>
          <w:sz w:val="24"/>
          <w:szCs w:val="24"/>
        </w:rPr>
        <w:t xml:space="preserve">A correção de Bonferroni (DUNN, 1961) é aplicada</w:t>
      </w:r>
      <w:r>
        <w:rPr>
          <w:rFonts w:ascii="Times New Roman" w:cs="Times New Roman" w:eastAsia="Times New Roman" w:hAnsi="Times New Roman"/>
          <w:b w:val="false"/>
          <w:bCs w:val="false"/>
          <w:i w:val="false"/>
          <w:iCs w:val="false"/>
          <w:sz w:val="24"/>
          <w:szCs w:val="24"/>
        </w:rPr>
        <w:t xml:space="preserve"> aos valores obtidos no procedimento agrupado, </w:t>
      </w:r>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6.4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6.3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r>
        <w:rPr>
          <w:rFonts w:ascii="Times New Roman" w:cs="Times New Roman" w:eastAsia="Times New Roman" w:hAnsi="Times New Roman"/>
          <w:b w:val="false"/>
          <w:bCs w:val="false"/>
          <w:i w:val="false"/>
          <w:iCs w:val="false"/>
          <w:sz w:val="24"/>
          <w:szCs w:val="24"/>
        </w:rPr>
        <w:t xml:space="preserve">cujas médias e desvios-padrão são reportados na subseção 6.3</w:t>
      </w:r>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4.5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4.6.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6.5.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w:t>
      </w:r>
      <w:r>
        <w:rPr>
          <w:rFonts w:ascii="Times New Roman" w:cs="Times New Roman" w:eastAsia="Times New Roman" w:hAnsi="Times New Roman"/>
          <w:b w:val="false"/>
          <w:bCs w:val="false"/>
          <w:i w:val="false"/>
          <w:iCs w:val="false"/>
          <w:sz w:val="24"/>
          <w:szCs w:val="24"/>
        </w:rPr>
        <w:t xml:space="preserve">e não sustentam decisão sobre as hipóteses. O mesmo estatuto tem o escore restrito aos três indicadores de maior poder discriminante, apresentado ao fim da subseção 6.6, construído depois de observados os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4.6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4.3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r>
        <w:rPr>
          <w:rFonts w:ascii="Times New Roman" w:cs="Times New Roman" w:eastAsia="Times New Roman" w:hAnsi="Times New Roman"/>
          <w:b w:val="false"/>
          <w:bCs w:val="false"/>
          <w:i w:val="false"/>
          <w:iCs w:val="false"/>
          <w:sz w:val="24"/>
          <w:szCs w:val="24"/>
        </w:rPr>
        <w:t xml:space="preserve">Das 149 entradas da amostra comum no horizonte de um ano</w:t>
      </w:r>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6.8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5.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5.1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r>
        <w:rPr>
          <w:rFonts w:ascii="Times New Roman" w:cs="Times New Roman" w:eastAsia="Times New Roman" w:hAnsi="Times New Roman"/>
          <w:b w:val="false"/>
          <w:bCs w:val="false"/>
          <w:i w:val="false"/>
          <w:iCs w:val="false"/>
          <w:sz w:val="24"/>
          <w:szCs w:val="24"/>
        </w:rPr>
        <w:t xml:space="preserve">referentes aos exercícios de 2010 a 2025</w:t>
      </w:r>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7.672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7.403 observações firma-ano referentes a 727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581 em 2023, encerrando o período em 527. Cada firma é observada em média por 10,2 exercícios, com mediana de 9, e apenas 237 das 727 companhias comparecem em todos os anos do período. Excluem-se da amostra quinze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6.8.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r>
        <w:rPr>
          <w:rFonts w:ascii="Times New Roman" w:cs="Times New Roman" w:eastAsia="Times New Roman" w:hAnsi="Times New Roman"/>
          <w:b w:val="false"/>
          <w:bCs w:val="false"/>
          <w:i w:val="false"/>
          <w:iCs w:val="false"/>
          <w:sz w:val="24"/>
          <w:szCs w:val="24"/>
        </w:rPr>
        <w:t xml:space="preserve">a cobertura varia de menos 82,0 a 575,6</w:t>
      </w:r>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6.8.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5.2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1,803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17,543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7.403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5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r>
        <w:rPr>
          <w:rFonts w:ascii="Times New Roman" w:cs="Times New Roman" w:eastAsia="Times New Roman" w:hAnsi="Times New Roman"/>
          <w:b w:val="false"/>
          <w:bCs w:val="false"/>
          <w:i w:val="false"/>
          <w:iCs w:val="false"/>
          <w:sz w:val="24"/>
          <w:szCs w:val="24"/>
        </w:rPr>
        <w:t xml:space="preserve">A correlação máxima é de 0,44</w:t>
      </w:r>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r>
        <w:rPr>
          <w:rFonts w:ascii="Times New Roman" w:cs="Times New Roman" w:eastAsia="Times New Roman" w:hAnsi="Times New Roman"/>
          <w:b w:val="false"/>
          <w:bCs w:val="false"/>
          <w:i w:val="false"/>
          <w:iCs w:val="false"/>
          <w:sz w:val="24"/>
          <w:szCs w:val="24"/>
        </w:rPr>
        <w:t xml:space="preserve">sua correlação mais alta é de 0,21 com o retorno sobre ativos</w:t>
      </w:r>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6.5,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15,1% do painel. A Tabela 6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5.076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6.3 e 6.6.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50 observações censuradas à esquerda</w:t>
      </w:r>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risco reúne as 5.682 observações cuja firma estava fora do estado de vulnerabilidade no exercício anterior e que, portanto, podem registrar uma entrada. Ficam fora dela as 921 observações de permanência no estado ou censuradas à esquerda e as 800 observações sem exercício anterior saudável observado, das quais 686 correspondem à primeira aparição da firma no painel.</w:t>
      </w:r>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5.076 observações e 153 entradas, ou 3,01%. As duas medidas são distintas e ambas relevantes: 3,41% é a incidência de entrada no painel, ao passo que 3,01% é a frequência</w:t>
      </w:r>
      <w:r>
        <w:rPr>
          <w:rFonts w:ascii="Times New Roman" w:cs="Times New Roman" w:eastAsia="Times New Roman" w:hAnsi="Times New Roman"/>
          <w:b w:val="false"/>
          <w:bCs w:val="false"/>
          <w:i w:val="false"/>
          <w:iCs w:val="false"/>
          <w:sz w:val="24"/>
          <w:szCs w:val="24"/>
        </w:rPr>
        <w:t xml:space="preserve"> do evento</w:t>
      </w:r>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4.3. Aplicada à amostra de risco, ela produz taxa de eventos de 3,41%, compatível com a frequência usual na literatura. A trajetória temporal das duas séries reforça a distinção. Sob a codificação por estado, </w:t>
      </w:r>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6.8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6.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6.1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7.403 observações do painel. A Tabela 7 reporta a decomposição completa e a Figura 2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27,04%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27,04%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43,58%</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11,62%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68,46%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78,91%</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94,88%</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Autovalores dos componentes principais</w:t>
      </w:r>
    </w:p>
    <w:p>
      <w:pPr>
        <w:spacing w:after="60" w:before="120"/>
        <w:jc w:val="center"/>
      </w:pPr>
      <w:r>
        <w:drawing>
          <wp:inline distT="0" distB="0" distL="0" distR="0">
            <wp:extent cx="5486400" cy="37847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784768"/>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27,04% da variância total, e o critério de Kaiser retém 3 componentes, que juntos explicam 56,84%.</w:t>
      </w:r>
      <w:r>
        <w:rPr>
          <w:rFonts w:ascii="Times New Roman" w:cs="Times New Roman" w:eastAsia="Times New Roman" w:hAnsi="Times New Roman"/>
          <w:b w:val="false"/>
          <w:bCs w:val="false"/>
          <w:i w:val="false"/>
          <w:iCs w:val="false"/>
          <w:sz w:val="24"/>
          <w:szCs w:val="24"/>
        </w:rPr>
        <w:t xml:space="preserve"> A análise paralela de Horn (1965), mais conservadora, retém o mesmo número.</w:t>
      </w:r>
      <w:r>
        <w:rPr>
          <w:rFonts w:ascii="Times New Roman" w:cs="Times New Roman" w:eastAsia="Times New Roman" w:hAnsi="Times New Roman"/>
          <w:b w:val="false"/>
          <w:bCs w:val="false"/>
          <w:i w:val="false"/>
          <w:iCs w:val="false"/>
          <w:sz w:val="24"/>
          <w:szCs w:val="24"/>
        </w:rPr>
        <w:t xml:space="preserve"> A Tabela 8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6.6,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27,04%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6.5 mostra a que rota de deterioração essa dimensão corresponde, </w:t>
      </w:r>
      <w:r>
        <w:rPr>
          <w:rFonts w:ascii="Times New Roman" w:cs="Times New Roman" w:eastAsia="Times New Roman" w:hAnsi="Times New Roman"/>
          <w:b w:val="false"/>
          <w:bCs w:val="false"/>
          <w:i w:val="false"/>
          <w:iCs w:val="false"/>
          <w:sz w:val="24"/>
          <w:szCs w:val="24"/>
        </w:rPr>
        <w:t xml:space="preserve">e em qual delas o escore tem desempenho fraco</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6.8, </w:t>
      </w:r>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0,763 para 0,707 ou 0,661, ilustra</w:t>
      </w:r>
      <w:r>
        <w:rPr>
          <w:rFonts w:ascii="Times New Roman" w:cs="Times New Roman" w:eastAsia="Times New Roman" w:hAnsi="Times New Roman"/>
          <w:b w:val="false"/>
          <w:bCs w:val="false"/>
          <w:i w:val="false"/>
          <w:iCs w:val="false"/>
          <w:sz w:val="24"/>
          <w:szCs w:val="24"/>
        </w:rPr>
        <w:t xml:space="preserve">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6.2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4.3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0,781 (Tabela A.1). Excluída a cobertura de juros, ela passa a 0,768. A queda de 0,013 ponto</w:t>
      </w:r>
      <w:r>
        <w:rPr>
          <w:rFonts w:ascii="Times New Roman" w:cs="Times New Roman" w:eastAsia="Times New Roman" w:hAnsi="Times New Roman"/>
          <w:b w:val="false"/>
          <w:bCs w:val="false"/>
          <w:i w:val="false"/>
          <w:iCs w:val="false"/>
          <w:sz w:val="24"/>
          <w:szCs w:val="24"/>
        </w:rPr>
        <w:t xml:space="preserve">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6.3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A.2 reporta a área sob a curva ROC dos modelos dentro da amostra, com e sem controles, e fora da amostra sob o procedimento descrito na subseção 4.4.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0,041 ponto. Os efeitos fixos fornecem aos indicadores pobres informação que eles próprios não carregam, razão pela qual a inferência é conduzida sobre a especificação sem controles, conforme a subseção 4.4.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comparação fora da amostra nos dois horizontes, com inferência por bootstrap agrupado por firma, e a Figura 3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[+0,087; +0,178]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[+0,079; +0,177]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 +0,159]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[−0,073; +0,019]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 +0,188]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 +0,104]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0,117</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5.037 observações e 149 entradas no horizonte de um ano, e 4.288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Curvas ROC fora da amostra, horizonte de um ano</w:t>
      </w:r>
    </w:p>
    <w:p>
      <w:pPr>
        <w:spacing w:after="60" w:before="120"/>
        <w:jc w:val="center"/>
      </w:pPr>
      <w:r>
        <w:drawing>
          <wp:inline distT="0" distB="0" distL="0" distR="0">
            <wp:extent cx="5486400" cy="52269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522699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0,763, contra 0,894 da cobertura de juros, 0,874 do retorno sobre ativos e 0,897 da referência não linear.</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6.5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r>
        <w:rPr>
          <w:rFonts w:ascii="Times New Roman" w:cs="Times New Roman" w:eastAsia="Times New Roman" w:hAnsi="Times New Roman"/>
          <w:b w:val="false"/>
          <w:bCs w:val="false"/>
          <w:i w:val="false"/>
          <w:iCs w:val="false"/>
          <w:sz w:val="24"/>
          <w:szCs w:val="24"/>
        </w:rPr>
        <w:t xml:space="preserve">que ele supera por 0,028 ponto sem significância estatística. Sob as dez atribuições aleatórias de firmas a partições, as médias praticamente coincidem com os valores da atribuição de referência: 0,762 para o escore sintético, com desvio-padrão de 0,002, 0,874 para o escore supervisionado (0,003) e 0,897 para a referência não linear (0,004). O modelo de Brito e Assaf Neto é o mais sensível à atribuição, com média de 0,726 e amplitude de 0,706 a 0,740, o que reforça a leitura de que sua diferença para o escore sintético não é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A.3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o resultado central da validação cruzada no horizonte de um ano: com 40 entradas no período de teste, o escore sintético fica abaixo da cobertura de juros, do retorno sobre ativos, do escore supervisionado e das árvores impulsionadas, com todas as diferenças significativas.</w:t>
      </w:r>
      <w:r>
        <w:rPr>
          <w:rFonts w:ascii="Times New Roman" w:cs="Times New Roman" w:eastAsia="Times New Roman" w:hAnsi="Times New Roman"/>
          <w:b w:val="false"/>
          <w:bCs w:val="false"/>
          <w:i w:val="false"/>
          <w:iCs w:val="false"/>
          <w:sz w:val="24"/>
          <w:szCs w:val="24"/>
        </w:rPr>
        <w:t xml:space="preserve"> A conclusão sobre H2, portanto, não depende do esquema de avaliação. </w:t>
      </w:r>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ordem entre os quatro modelos que superam o escore muda em relação à validação cruzada, com no máximo 0,021 ponto entre eles, e o modelo de Brito e Assaf Neto, abaixo do escore sintético na validação cruzada, o supera no esquema temporal, com 0,789 contra 0,744.</w:t>
      </w:r>
    </w:p>
    <w:p>
      <w:pPr>
        <w:keepNext/>
        <w:spacing w:after="120" w:before="240" w:line="360"/>
        <w:jc w:val="left"/>
      </w:pPr>
      <w:r>
        <w:rPr>
          <w:rFonts w:ascii="Times New Roman" w:cs="Times New Roman" w:eastAsia="Times New Roman" w:hAnsi="Times New Roman"/>
          <w:b w:val="false"/>
          <w:bCs w:val="false"/>
          <w:i/>
          <w:iCs/>
          <w:sz w:val="24"/>
          <w:szCs w:val="24"/>
        </w:rPr>
        <w:t xml:space="preserve">6.4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5.076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4.314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6.649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5.902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0,342 e 0,214. A evidência sustenta H3, e o horizonte de dois anos é o que a sustenta de forma mais estrita: pelas razões expostas na subseção 4.6,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0,631 sob estado para 0,342 sob transição no horizonte de um ano, mede o quanto da associação aparente decorria de reconhecer uma condição já instalada, e não de antecipá-la. O pseudo R² acompanha o mesmo movimento, de 0,343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4.4. A verificação pertinente é se o resultado depende disso, e não depende: na especificação com controle apenas de porte, que opera em 51,00 eventos por parâmetro, o coeficiente é de 0,329; sem controles, em 76,50 eventos por parâmetro, é de 0,345; e na especificação completa, de 0,342. </w:t>
      </w:r>
      <w:r>
        <w:rPr>
          <w:rFonts w:ascii="Times New Roman" w:cs="Times New Roman" w:eastAsia="Times New Roman" w:hAnsi="Times New Roman"/>
          <w:b w:val="false"/>
          <w:bCs w:val="false"/>
          <w:i w:val="false"/>
          <w:iCs w:val="false"/>
          <w:sz w:val="24"/>
          <w:szCs w:val="24"/>
        </w:rPr>
        <w:t xml:space="preserve">Os três são significativos, com p &lt; 0,001,</w:t>
      </w:r>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6.5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0,619</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0,654</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9, com a diferença de que os valores desta tabela são médias sobre dez atribuições, </w:t>
      </w:r>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12, alcança 0,647 em um ano, contra 0,973 da cobertura de juros, diferença de 0,327 ponto com intervalo</w:t>
      </w:r>
      <w:r>
        <w:rPr>
          <w:rFonts w:ascii="Times New Roman" w:cs="Times New Roman" w:eastAsia="Times New Roman" w:hAnsi="Times New Roman"/>
          <w:b w:val="false"/>
          <w:bCs w:val="false"/>
          <w:i w:val="false"/>
          <w:iCs w:val="false"/>
          <w:sz w:val="24"/>
          <w:szCs w:val="24"/>
        </w:rPr>
        <w:t xml:space="preserve"> que exclui o zero com folga. </w:t>
      </w:r>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 e fica nominalmente à frente da cobertura de juros e do retorno sobre ativos, por 0,029 e 0,031 ponto</w:t>
      </w:r>
      <w:r>
        <w:rPr>
          <w:rFonts w:ascii="Times New Roman" w:cs="Times New Roman" w:eastAsia="Times New Roman" w:hAnsi="Times New Roman"/>
          <w:b w:val="false"/>
          <w:bCs w:val="false"/>
          <w:i w:val="false"/>
          <w:iCs w:val="false"/>
          <w:sz w:val="24"/>
          <w:szCs w:val="24"/>
        </w:rPr>
        <w:t xml:space="preserve">, mas os intervalos contêm o zero: o que se observa é empate, e não superioridade. </w:t>
      </w:r>
      <w:r>
        <w:rPr>
          <w:rFonts w:ascii="Times New Roman" w:cs="Times New Roman" w:eastAsia="Times New Roman" w:hAnsi="Times New Roman"/>
          <w:b w:val="false"/>
          <w:bCs w:val="false"/>
          <w:i w:val="false"/>
          <w:iCs w:val="false"/>
          <w:sz w:val="24"/>
          <w:szCs w:val="24"/>
        </w:rPr>
        <w:t xml:space="preserve">Contra o escore supervisionado, o escore sintético fica à frente por 0,063 ponto, com intervalo que toca o zero: a vantagem é nominal, e se afasta ainda mais da significância com a antecipação das datas de recuperação judicial examinada na subseção 6.9.</w:t>
      </w:r>
      <w:r>
        <w:rPr>
          <w:rFonts w:ascii="Times New Roman" w:cs="Times New Roman" w:eastAsia="Times New Roman" w:hAnsi="Times New Roman"/>
          <w:b w:val="false"/>
          <w:bCs w:val="false"/>
          <w:i w:val="false"/>
          <w:iCs w:val="false"/>
          <w:sz w:val="24"/>
          <w:szCs w:val="24"/>
        </w:rPr>
        <w:t xml:space="preserve"> Nas entradas por recuperação judicial, nenhuma diferença contra as razões isoladas é distinguível; o escore supervisionado fica à frente do sintético por 0,063 ponto, com intervalo que exclui o zero por margem mínima, o que, com 11 entradas, não sustenta afirmação forte, pela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11 não são mutuamente exclusivos, porque uma entrada pode satisfazer mais de um critério. A Tabela 12 e a Figura 4 repetem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+0,327</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[+0,249; +0,410]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[+0,223; +0,373]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[−0,096; +0,035]</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[−0,128; 0,001]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[−0,089; +0,110]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 +0,134]</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+0,230]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[+0,192; +0,351]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[−0,068; +0,067]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[−0,141;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[−0,242; +0,066]</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 +0,147]</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4.5.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Desempenho fora da amostra por rota de deterioração</w:t>
      </w:r>
    </w:p>
    <w:p>
      <w:pPr>
        <w:spacing w:after="60" w:before="120"/>
        <w:jc w:val="center"/>
      </w:pPr>
      <w:r>
        <w:drawing>
          <wp:inline distT="0" distB="0" distL="0" distR="0">
            <wp:extent cx="5486400" cy="2587924"/>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5" cstate="none"/>
                    <a:srcRect/>
                    <a:stretch>
                      <a:fillRect/>
                    </a:stretch>
                  </pic:blipFill>
                  <pic:spPr bwMode="auto">
                    <a:xfrm>
                      <a:off x="0" y="0"/>
                      <a:ext cx="5486400" cy="2587924"/>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0,116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0,856, o escore supervisionado 0,857 e a referência não linear 0,856,</w:t>
      </w:r>
      <w:r>
        <w:rPr>
          <w:rFonts w:ascii="Times New Roman" w:cs="Times New Roman" w:eastAsia="Times New Roman" w:hAnsi="Times New Roman"/>
          <w:b w:val="false"/>
          <w:bCs w:val="false"/>
          <w:i w:val="false"/>
          <w:iCs w:val="false"/>
          <w:sz w:val="24"/>
          <w:szCs w:val="24"/>
        </w:rPr>
        <w:t xml:space="preserve"> sem diferença</w:t>
      </w:r>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0,592. A explicação mecânica responde, portanto, pela maior parte do contraste no horizonte de um ano. Ela não basta, porém, porque no horizonte de dois anos</w:t>
      </w:r>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r>
        <w:rPr>
          <w:rFonts w:ascii="Times New Roman" w:cs="Times New Roman" w:eastAsia="Times New Roman" w:hAnsi="Times New Roman"/>
          <w:b w:val="false"/>
          <w:bCs w:val="false"/>
          <w:i w:val="false"/>
          <w:iCs w:val="false"/>
          <w:sz w:val="24"/>
          <w:szCs w:val="24"/>
        </w:rPr>
        <w:t xml:space="preserve"> a Tabela 13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1,429</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1,508</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22,173</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1,429 e capital de giro superior. São menores e apresentam rentabilidade mais baixa, mas seu balanço é, nas dimensões de estrutura, melhor que o da firma mediana. Como três das quatro maiores cargas do primeiro componente são de estrutura patrimonial, capital de giro, com 0,530, alavancagem, com 0,415, e liquidez corrente, com 0,379, ao lado do retorno sobre ativos, com 0,483, o escore lê essas firmas como robustas. As que entram por patrimônio líquido negativo apresentam o perfil oposto, com alavancagem de 0,425 e liquidez de 0,944, e ali o escore acompanha as melhores alternativas.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p>
    <w:p>
      <w:pPr>
        <w:keepNext/>
        <w:spacing w:after="120" w:before="240" w:line="360"/>
        <w:jc w:val="left"/>
      </w:pPr>
      <w:r>
        <w:rPr>
          <w:rFonts w:ascii="Times New Roman" w:cs="Times New Roman" w:eastAsia="Times New Roman" w:hAnsi="Times New Roman"/>
          <w:b w:val="false"/>
          <w:bCs w:val="false"/>
          <w:i/>
          <w:iCs/>
          <w:sz w:val="24"/>
          <w:szCs w:val="24"/>
        </w:rPr>
        <w:t xml:space="preserve">6.6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14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45,4%</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61,0%</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57,3%</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54,5%</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54,5%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6.5,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0,763 para 0,877,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0,857 e 0,856,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Uma última verificação separa o critério de agregação da escolha do que se agrega. Restrito aos três indicadores de maior poder discriminante da Tabela 14, o retorno sobre ativos, a cobertura de juros e a margem EBITDA, o mesmo procedimento não supervisionado, com componentes principais estimados apenas nas firmas de treino, produz no horizonte de um ano escore com área sob a curva de 0,895, contra 0,763 do escore sobre os oito indicadores e 0,894 da cobertura de juros, sem diferença distinguível desta (cobertura menos escore restrito: −0,001, com intervalo de −0,015 a +0,015), e supera o retorno sobre ativos e o escore supervisionado sobre os oito indicadores por 0,021 e 0,018 ponto. No horizonte de dois anos, alcança 0,722 e supera a cobertura de juros, com 0,681, por 0,041 ponto (intervalo de +0,020 a +0,063), sem diferença distinguível do retorno sobre ativos (0,731) nem do escore supervisionado (0,724). A média simples dos três indicadores padronizados difere do componente principal em no máximo 0,001 ponto, e a seleção refeita pelos três maiores poderes discriminantes dentro de cada partição de treino escolhe o mesmo conjunto em 99 das 100 partições, de modo que o resultado não decorre de a escolha ter sido feita sobre a amostra completa. Agregados apenas os melhores componentes, a agregação não supervisionada acompanha o melhor indicador isolado nos dois horizontes, a cobertura de juros em um ano e o retorno sobre ativos em dois, sem superá-lo. O resultado é consistente com a leitura de que o desempenho do escore sobre os oito indicadores reflete sobretudo a composição do conjunto agregado. No horizonte de um ano, contudo, a margem EBITDA reintroduz a sobreposição mecânica discutida na subseção 6.5, e a decomposição por rota deve ser lida com essa ressalva: o escore restrito alcança 0,959 nas 66 entradas por prejuízo operacional, 0,784 nas 51 por patrimônio líquido negativo e 0,888 nas 11 por recuperação judicial; em dois anos, 0,576, 0,802 e 0,798, com 52, 46 e 9 entradas.</w:t>
      </w:r>
    </w:p>
    <w:p>
      <w:pPr>
        <w:keepNext/>
        <w:spacing w:after="120" w:before="240" w:line="360"/>
        <w:jc w:val="left"/>
      </w:pPr>
      <w:r>
        <w:rPr>
          <w:rFonts w:ascii="Times New Roman" w:cs="Times New Roman" w:eastAsia="Times New Roman" w:hAnsi="Times New Roman"/>
          <w:b w:val="false"/>
          <w:bCs w:val="false"/>
          <w:i/>
          <w:iCs/>
          <w:sz w:val="24"/>
          <w:szCs w:val="24"/>
        </w:rPr>
        <w:t xml:space="preserve">6.7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2,96%, a área sob a curva mede a qualidade da ordenação, mas não informa se os modelos produzem probabilidades utilizáveis. </w:t>
      </w:r>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sinalizados</w:t>
            </w:r>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Especificidade</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Decisão líquida 10:1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1,062</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18,4%</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0,178</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1,044</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0,804</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0,843</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44,3%</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1,097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53,0%</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0,479</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0,989 e 0,993 em todos os modelos. Modelos na ordem da área sob a curva ROC da Tabela 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Na Tabela 15, a ordenação em precisão e revocação reproduz a da área sob a curva ROC, e a calibração é adequada em todos os modelos, com inclinações entre 0,991 e 1,097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r>
        <w:rPr>
          <w:rFonts w:ascii="Times New Roman" w:cs="Times New Roman" w:eastAsia="Times New Roman" w:hAnsi="Times New Roman"/>
          <w:b w:val="false"/>
          <w:bCs w:val="false"/>
          <w:i w:val="false"/>
          <w:iCs w:val="false"/>
          <w:sz w:val="24"/>
          <w:szCs w:val="24"/>
        </w:rPr>
        <w:t xml:space="preserve">a regra baseada no escore sintético sinaliza 44,3% dos firma-anos, contra 18,7% da cobertura de juros, com valor preditivo positivo de 0,053 contra 0,124. No mesmo limiar, a especificidade é de 0,568 para o escore sintético e de 0,832 para a cobertura de juros</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p>
    <w:p>
      <w:pPr>
        <w:keepNext/>
        <w:spacing w:after="120" w:before="240" w:line="360"/>
        <w:jc w:val="left"/>
      </w:pPr>
      <w:r>
        <w:rPr>
          <w:rFonts w:ascii="Times New Roman" w:cs="Times New Roman" w:eastAsia="Times New Roman" w:hAnsi="Times New Roman"/>
          <w:b w:val="false"/>
          <w:bCs w:val="false"/>
          <w:i/>
          <w:iCs/>
          <w:sz w:val="24"/>
          <w:szCs w:val="24"/>
        </w:rPr>
        <w:t xml:space="preserve">6.8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A.4 reporta o efeito de definições alternativas do evento, motivadas pela discussão da subseção 6.5.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A.5 reúne as sensibilidades que alteram a amostra sem alterar a definição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4.6.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r>
        <w:rPr>
          <w:rFonts w:ascii="Times New Roman" w:cs="Times New Roman" w:eastAsia="Times New Roman" w:hAnsi="Times New Roman"/>
          <w:b w:val="false"/>
          <w:bCs w:val="false"/>
          <w:i w:val="false"/>
          <w:iCs w:val="false"/>
          <w:sz w:val="24"/>
          <w:szCs w:val="24"/>
        </w:rPr>
        <w:t xml:space="preserve">das 200 companhias cuja última observação antecede 2025, 32,0%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200 saídas se dividem em fechamento voluntário de capital (119), recuperação judicial (28), incorporação ou reorganização (22), falência ou liquidação (12), cancelamento por outro motivo (7) e motivo não identificado (12); 27 delas decorrem apenas do filtro amostral, com o registro ainda ativo. As 44 saídas associadas a dificuldade financeira pelo cadastro, 22,0%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0,763 para 0,751; somar ou subtrair o segundo componente, cujo sinal é arbitrário, a reduz para 0,707 ou 0,661; e reconstruir o escore sobre desvios da média histórica de cada firma, calculada apenas com exercícios anteriores, a leva a 0,690. Winsorizando os oito indicadores nos percentis 1 e 99, a variância explicada pelo primeiro componente sobe de 27,04% para 31,65% e o escore alcança 0,799 fora da amostra</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A.6.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2,27% a partir de 2020. A Figura 5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5 – Vulnerabilidade sob as duas codificações</w:t>
      </w:r>
    </w:p>
    <w:p>
      <w:pPr>
        <w:spacing w:after="60" w:before="120"/>
        <w:jc w:val="center"/>
      </w:pPr>
      <w:r>
        <w:drawing>
          <wp:inline distT="0" distB="0" distL="0" distR="0">
            <wp:extent cx="5486400" cy="32218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21844"/>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6.9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r>
        <w:rPr>
          <w:rFonts w:ascii="Times New Roman" w:cs="Times New Roman" w:eastAsia="Times New Roman" w:hAnsi="Times New Roman"/>
          <w:b w:val="false"/>
          <w:bCs w:val="false"/>
          <w:i w:val="false"/>
          <w:iCs w:val="false"/>
          <w:sz w:val="24"/>
          <w:szCs w:val="24"/>
        </w:rPr>
        <w:t xml:space="preserve">O tratamento da subseção 6.8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0,764 para o escore sintético e a 0,888 para a cobertura de juros, e as conclusões agregadas e por rota de deterioração se mantêm, com duas qualificações: nas entradas exclusivamente por patrimônio líquido negativo, a vantagem nominal do escore sintético sobre o supervisionado se afasta ainda mais da significância, e no horizonte de dois anos a diferença entre a cobertura de juros e o escore sintético passa a resistir à correção de Bonferroni.</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4.3.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7.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0,763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r>
        <w:rPr>
          <w:rFonts w:ascii="Times New Roman" w:cs="Times New Roman" w:eastAsia="Times New Roman" w:hAnsi="Times New Roman"/>
          <w:b w:val="false"/>
          <w:bCs w:val="false"/>
          <w:i w:val="false"/>
          <w:iCs w:val="false"/>
          <w:sz w:val="24"/>
          <w:szCs w:val="24"/>
        </w:rPr>
        <w:t xml:space="preserve">com 0,647 contra 0,973 da cobertura de juros em um ano, contraste em boa parte mecânico,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1,429: seu balanço é, nas dimensões de estrutura, melhor que o da firma mediana. Um escore em que três das quatro maiores cargas são de estrutura patrimonial, capital de giro, alavancagem e liquidez, as classifica como robustas, a ponto de a ordenação se inverter no horizonte de dois anos.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Restrito aos três indicadores de maior poder discriminante, o mesmo procedimento não supervisionado acompanha o melhor indicador isolado nos dois horizontes, sem superá-lo, o que reforça essa leitura. A multidimensionalidade documentada na avaliação de H1</w:t>
      </w:r>
      <w:r>
        <w:rPr>
          <w:rFonts w:ascii="Times New Roman" w:cs="Times New Roman" w:eastAsia="Times New Roman" w:hAnsi="Times New Roman"/>
          <w:b w:val="false"/>
          <w:bCs w:val="false"/>
          <w:i w:val="false"/>
          <w:iCs w:val="false"/>
          <w:sz w:val="24"/>
          <w:szCs w:val="24"/>
        </w:rPr>
        <w:t xml:space="preserve"> e o desempenho agregado inferior documentado na de H2 </w:t>
      </w:r>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7.1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7.2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p>
    <w:p>
      <w:pPr>
        <w:keepNext/>
        <w:spacing w:after="180" w:before="360" w:line="360"/>
        <w:jc w:val="left"/>
        <w:rPr/>
      </w:pPr>
      <w:r>
        <w:rPr>
          <w:rFonts w:ascii="Times New Roman" w:cs="Times New Roman" w:eastAsia="Times New Roman" w:hAnsi="Times New Roman"/>
          <w:b/>
          <w:bCs/>
          <w:i w:val="false"/>
          <w:iCs w:val="false"/>
          <w:sz w:val="24"/>
          <w:szCs w:val="24"/>
        </w:rPr>
        <w:t xml:space="preserve">Disponibilidade de dados e código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ÁLVAREZ, L.; GARCÍA-POSADA, M.; MAYORDOMO, S. Distressed firms, zombie firms and zombie lending: a taxonomy. Journal of Banking &amp; Finance, v. 149, art. 106762, 2023.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Corporate zombies: anatomy and life cycle. Economic Policy, v. 37, n. 112, p. 757-803, 2022.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BIBI, S.; CHANDORKAR, P. A. Minsky in Peru: unveiling the hidden financial fragility at a sectoral level. Structural Change and Economic Dynamics, v. 73, p. 77-88, 2025.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FRANZOTTI, T. D. A.; MAGNANI, V. M.; AMBROZINI, M. A.; VALLE, M. R. Financing of Brazilian companies during financial crises: comparative between the crises of 2002, 2008 and 2015. RAM. Revista de Administração Mackenzie, v. 22, n. 1, eRAMF210154, 2021.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JABEUR, S. B.; GHARIB, C.; MEFTEH-WALI, S.; ARFI, W. B. CatBoost model and artificial intelligence techniques for corporate failure prediction. Technological Forecasting and Social Change, v. 166, art. 120658,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NOVIKOVA, A. Y.; ROZMAINSKY, I. V. The non-financial private firms’ sector of Portugal in 2001–2017: the financial fragility hypothesis-based analysis. Voprosy Ekonomiki, n. 3, p. 115-128, 2020.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OLIVEIRA, W. C.; DINIZ, J. A. Influence of financial situation and earnings management on violation of financial covenants by insolvent companies: evidence from Brazil. RAM. Revista de Administração Mackenzie, v. 26, n. 3, eRAMF250127, 2025.</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PREDEBOM, B.; BIANCHI, M.; MACHADO, V. Influence of economic cycles on the relationship of earnings management and insolvency of publicly traded companies. Brazilian Business Review, v. 22, n. 1, 2025.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ROLIM, L. N.; CATTAN, R.; ANTONIOLI, J. Fragilidade financeira das empresas não financeiras de capital aberto no Brasil entre 2010 e 2016: uma análise setorial a partir de Minsky. Análise Econômica, v. 39, n. 78, 2021.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SHETTY, S.; MUSA, M.; BRÉDART, X. Bankruptcy prediction using machine learning techniques. Journal of Risk and Financial Management, v. 15, n. 1, art. 35, 2022.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SILBER, S. D. A fragilidade econômica e financeira na pandemia do Sars-Covid-19. Estudos Avançados, v. 34, n. 100, p. 107-115, 2020.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TEIXEIRA, D. N.; TIRYAKI, G. F.; DRUMMOND, C. E. I. Fragilidade financeira e volatilidade dos ciclos econômicos no Brasil pós-Plano Real. Estudos Econômicos (São Paulo), v. 50, n. 1, p. 125-158, 2020.</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p>
      <w:pPr>
        <w:keepNext/>
        <w:pageBreakBefore/>
        <w:spacing w:after="180" w:before="360" w:line="360"/>
        <w:jc w:val="left"/>
      </w:pPr>
      <w:r>
        <w:rPr>
          <w:rFonts w:ascii="Times New Roman" w:cs="Times New Roman" w:eastAsia="Times New Roman" w:hAnsi="Times New Roman"/>
          <w:b/>
          <w:bCs/>
          <w:i w:val="false"/>
          <w:iCs w:val="false"/>
          <w:sz w:val="24"/>
          <w:szCs w:val="24"/>
        </w:rPr>
        <w:t xml:space="preserve">APÊNDICE A – TABELAS COMPLEMENTARES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Este apêndice reúne as tabelas de validação convergente, de avaliação complementar e de robustez citadas no texto. A numeração segue a ordem em que são mencionadas.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A.1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0,908</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r>
        <w:rPr>
          <w:rFonts w:ascii="Times New Roman" w:cs="Times New Roman" w:eastAsia="Times New Roman" w:hAnsi="Times New Roman"/>
          <w:b w:val="false"/>
          <w:bCs w:val="false"/>
          <w:i w:val="false"/>
          <w:iCs w:val="false"/>
          <w:sz w:val="20"/>
          <w:szCs w:val="20"/>
        </w:rPr>
        <w:t xml:space="preserve">abrangendo 2.249 firma-anos, ou 30,4% do painel.</w:t>
      </w:r>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A.2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0,817</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0,756</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0,735</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5.037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A.3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 +0,269]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0,708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[+0,071; +0,262]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 +0,256]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3.249 observações; teste com desfechos de 2022 a 2025, 40 entradas em 1.788 observações no horizonte de um ano e 34 em 1.611 no de dois. Parâmetros não supervisionados estimados apenas com exercícios anteriores ao corte. Intervalos por bootstrap agrupado por firma; no horizonte de dois anos nenhuma diferença é significativa.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A.4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A.5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0,871</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A.6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+0,017</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5.037 observações e 149 entradas. Todas as especificações são estimadas por probit dentro de cada partição, o que explica pequenas diferenças em relação à Tabela 9.</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