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7.419 observações firma-ano de 730 companhias abertas não financeiras brasileiras entre 2010 e 2025. Sobre o agregado dos eventos a agregação não se justifica: a área sob a curva ROC do escore é de 0,764, contra 0,894 da cobertura de juros e 0,874 do retorno sobre ativos, em conclusão que se mantém sob validação cruzada agrupada por firma e sob avaliação temporal. Uma análise diagnóstica posterior decompõe o evento pelo critério que o define e mostra que o resultado agregado é produzido por uma das rotas de deterioração. </w:t>
      </w:r>
      <w:del w:id="9087" w:author="Revisão" w:date="2026-09-28T12:00:00Z">
        <w:r>
          <w:rPr>
            <w:rFonts w:ascii="Times New Roman" w:cs="Times New Roman" w:eastAsia="Times New Roman" w:hAnsi="Times New Roman"/>
            <w:b w:val="false"/>
            <w:bCs w:val="false"/>
            <w:i w:val="false"/>
            <w:iCs w:val="false"/>
            <w:sz w:val="24"/>
            <w:szCs w:val="24"/>
          </w:rPr>
          <w:delText xml:space="preserve">Nas entradas por prejuízo operacional persistente o escore fica 0,32 ponto atrás da cobertura de juros;</w:delText>
        </w:r>
      </w:del>
      <w:ins w:id="9088" w:author="Revisão" w:date="2026-09-28T12:00:00Z">
        <w:r>
          <w:rPr>
            <w:rFonts w:ascii="Times New Roman" w:cs="Times New Roman" w:eastAsia="Times New Roman" w:hAnsi="Times New Roman"/>
            <w:b w:val="false"/>
            <w:bCs w:val="false"/>
            <w:i w:val="false"/>
            <w:iCs w:val="false"/>
            <w:sz w:val="24"/>
            <w:szCs w:val="24"/>
          </w:rPr>
          <w:t xml:space="preserve">Nas entradas por prejuízo operacional persistente o escore fica 0,32 ponto atrás da cobertura de juros em um ano, contraste em que pesa a sobreposição mecânica entre o evento e os preditores, e 0,15 ponto atrás em dois anos;</w:t>
        </w:r>
      </w:ins>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del w:id="9085" w:author="Revisão" w:date="2026-09-28T12:00:00Z">
        <w:r>
          <w:rPr>
            <w:rFonts w:ascii="Times New Roman" w:cs="Times New Roman" w:eastAsia="Times New Roman" w:hAnsi="Times New Roman"/>
            <w:b w:val="false"/>
            <w:bCs w:val="false"/>
            <w:i w:val="false"/>
            <w:iCs w:val="false"/>
            <w:sz w:val="24"/>
            <w:szCs w:val="24"/>
          </w:rPr>
          <w:delText xml:space="preserve">A razão é de composição:</w:delText>
        </w:r>
      </w:del>
      <w:ins w:id="9086"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7.419 observações firma-ano, cobrindo 730 companhias abertas não financeiras entre 2010 e 2025. As firmas que deixam o painel ao longo do período são mantidas até seu último exercício observado, decisão relevante: </w:t>
      </w:r>
      <w:del w:id="9045" w:author="Revisão" w:date="2026-09-28T12:00:00Z">
        <w:r>
          <w:rPr>
            <w:rFonts w:ascii="Times New Roman" w:cs="Times New Roman" w:eastAsia="Times New Roman" w:hAnsi="Times New Roman"/>
            <w:b w:val="false"/>
            <w:bCs w:val="false"/>
            <w:i w:val="false"/>
            <w:iCs w:val="false"/>
            <w:sz w:val="24"/>
            <w:szCs w:val="24"/>
          </w:rPr>
          <w:delText xml:space="preserve">entre as que saem, 32,2% estavam em situação de vulnerabilidade na última observação, contra 16,0% entre as que permanecem</w:delText>
        </w:r>
      </w:del>
      <w:ins w:id="9046" w:author="Revisão" w:date="2026-09-28T12:00:00Z">
        <w:r>
          <w:rPr>
            <w:rFonts w:ascii="Times New Roman" w:cs="Times New Roman" w:eastAsia="Times New Roman" w:hAnsi="Times New Roman"/>
            <w:b w:val="false"/>
            <w:bCs w:val="false"/>
            <w:i w:val="false"/>
            <w:iCs w:val="false"/>
            <w:sz w:val="24"/>
            <w:szCs w:val="24"/>
          </w:rPr>
          <w:t xml:space="preserve">entre as que saem, 31,8% estavam em situação de vulnerabilidade na última observação, contra 14,4% entre as que permanecem</w:t>
        </w:r>
      </w:ins>
      <w:r>
        <w:rPr>
          <w:rFonts w:ascii="Times New Roman" w:cs="Times New Roman" w:eastAsia="Times New Roman" w:hAnsi="Times New Roman"/>
          <w:b w:val="false"/>
          <w:bCs w:val="false"/>
          <w:i w:val="false"/>
          <w:iCs w:val="false"/>
          <w:sz w:val="24"/>
          <w:szCs w:val="24"/>
        </w:rPr>
        <w:t xml:space="preserve">. Oito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0,764 fora da amostra, contra 0,894 da cobertura de juros e 0,874 do retorno sobre ativos, e a mesma ordenação aparece sob avaliação temporal. O escore, contudo, reúne as três propriedades que se esperariam de um bom indicador sintético: coerência teórica, com todas as cargas do primeiro componente no sentido esperado; estrutura interpretável, discriminando a posição financeira minskyana com área sob a curva de 0,783, ou 0,770 quando excluído o indicador que define essa posição; e conteúdo preditivo, antecipando a entrada com significância inferior a um por mil.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del w:id="9105" w:author="Revisão" w:date="2026-09-28T12:00:00Z">
        <w:r>
          <w:rPr>
            <w:rFonts w:ascii="Times New Roman" w:cs="Times New Roman" w:eastAsia="Times New Roman" w:hAnsi="Times New Roman"/>
            <w:b w:val="false"/>
            <w:bCs w:val="false"/>
            <w:i w:val="false"/>
            <w:iCs w:val="false"/>
            <w:sz w:val="24"/>
            <w:szCs w:val="24"/>
          </w:rPr>
          <w:delText xml:space="preserve">a desvantagem do escore concentra-se inteiramente naquelas definidas por prejuízo operacional persistente: ali o escore alcança 0,649 contra 0,973 da cobertura de juros, diferença de 0,324 ponto</w:delText>
        </w:r>
      </w:del>
      <w:ins w:id="9106" w:author="Revisão" w:date="2026-09-28T12:00:00Z">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0,649 contra 0,973 da cobertura de juros em um ano, diferença de 0,324 ponto em boa parte mecânica, e 0,377 contra 0,522 em dois anos, horizonte em que a ordenação do escore se inverte</w:t>
        </w:r>
      </w:ins>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del w:id="9089" w:author="Revisão" w:date="2026-09-28T12:00:00Z">
        <w:r>
          <w:rPr>
            <w:rFonts w:ascii="Times New Roman" w:cs="Times New Roman" w:eastAsia="Times New Roman" w:hAnsi="Times New Roman"/>
            <w:b w:val="false"/>
            <w:bCs w:val="false"/>
            <w:i w:val="false"/>
            <w:iCs w:val="false"/>
            <w:sz w:val="24"/>
            <w:szCs w:val="24"/>
          </w:rPr>
          <w:delText xml:space="preserve">O escore não é, portanto, uniformemente inferior: ele é cego a uma das rotas.</w:delText>
        </w:r>
      </w:del>
      <w:ins w:id="9090" w:author="Revisão" w:date="2026-09-28T12:00:00Z">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ins>
    </w:p>
    <w:p>
      <w:pPr>
        <w:spacing w:after="0" w:before="0" w:line="360"/>
        <w:ind w:firstLine="708"/>
        <w:jc w:val="both"/>
      </w:pPr>
      <w:del w:id="9091" w:author="Revisão" w:date="2026-09-28T12:00:00Z">
        <w:r>
          <w:rPr>
            <w:rFonts w:ascii="Times New Roman" w:cs="Times New Roman" w:eastAsia="Times New Roman" w:hAnsi="Times New Roman"/>
            <w:b w:val="false"/>
            <w:bCs w:val="false"/>
            <w:i w:val="false"/>
            <w:iCs w:val="false"/>
            <w:sz w:val="24"/>
            <w:szCs w:val="24"/>
          </w:rPr>
          <w:delText xml:space="preserve">A razão dessa cegueira é de composição, e é verificável nos dados.</w:delText>
        </w:r>
      </w:del>
      <w:ins w:id="9092"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1,430 e capital de giro superior à mediana geral. Como o primeiro componente carrega sobretudo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revisa a literatura, delimita os conceitos de fragilidade, vulnerabilidade e distress e identifica a lacuna. A seção 3 apresenta a metodologia, as hipóteses e o calendário informacional que sustenta a interpretação preditiva. A seção 4 descreve a base de dados. A seção 5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6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Esta seção percorre a literatura na ordem em que ela conduz às escolhas metodológicas adotadas. Parte da formulação teórica que define o objeto, examina como os principais trabalhos operacionalizaram a mensuração de dificuldade financeira, o que cada um encontrou, e conclui identificando o que ainda não foi testado.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2.1 O fundamento teórico e sua operacionalização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constrói indicadores de fragilidade a partir de razões de fluxo de caixa e endividamento, com finalidade macroprudencial, e encontra deterioração sistemática das posições no período que antecede a crise de 2008. Mulligan (2013) aplica a classificação em nível setorial na economia norte-americana e reporta migração generalizada de posições hedge para especulativas ao longo das expansões. Davis, De Souza e Hernandez (2019) constroem, para firmas não financeiras norte-americanas, uma classificação em regimes minskyanos com limiares absolutos sobre cobertura de juros e fluxo de caixa, e mostram que a distribuição das firmas entre regimes varia sistematicamente ao longo do ciclo. Nishi (2019) obtém resultado análogo para setores não financeiros japoneses.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empregando limiares absolutos de cobertura de juros, e documentam deterioração acentuada das posições após 2013. Mantoan, Centeno e Feijó (2021) investigam o comportamento financeiro das companhias não financeiras brasileiras na década de 2010 e associam a estagnação do investimento à fragilização das posições patrimoniais. Esses trabalhos convergem em um ponto de método que importa para o desenho aqui adotado: a classificação minskyana é construída com limiares absolutos definidos a priori, sem estimação de pesos a partir do desfecho observado. É dessa tradição que se extrai, na subseção 3.3, o critério de cobertura de juros inferior à unidade por dois exercícios consecutivos, utilizado aqui como validação convergente do indicador, por critério externo à variável dependente e não utilizado na calibração supervisionada.</w:t>
      </w:r>
    </w:p>
    <w:p>
      <w:pPr>
        <w:keepNext/>
        <w:spacing w:after="120" w:before="240" w:line="360"/>
        <w:jc w:val="left"/>
      </w:pPr>
      <w:r>
        <w:rPr>
          <w:rFonts w:ascii="Times New Roman" w:cs="Times New Roman" w:eastAsia="Times New Roman" w:hAnsi="Times New Roman"/>
          <w:b w:val="false"/>
          <w:bCs w:val="false"/>
          <w:i/>
          <w:iCs/>
          <w:sz w:val="24"/>
          <w:szCs w:val="24"/>
        </w:rPr>
        <w:t xml:space="preserve">2.2 A tradição de predição de insolvência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e reporta que o porte, a estrutura de capital e a liquidez concentram o poder preditivo. Zmijewski (1984) emprega probit e, mais importante para o desenho aqui adotado, documenta que a amostragem por pareamento entre falidas e não falidas enviesa as estimativas, recomendando o uso de amostras que preservem a frequência populacional do evento.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5.3.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5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comparam florestas aleatórias e máquinas de vetores de suporte com o discriminante clássico em amostra norte-americana e reportam ganho de aproximadamente dez pontos percentuais de acurácia. Zięba, Tomczak e Tomczak (2016) aplicam árvores impulsionadas com geração sintética de atributos a firmas polonesas, du Jardin (2016) propõe classificação em dois estágios que melhora o desempenho em horizontes longos, e Mai et al. (2019) incorporam informação textual das divulgações corporativas.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2.3 Agregação supervisionada e não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as duas tradições existe um conjunto de abordagens que constrói medidas agregadas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ambos documentando aumento da proporção de firmas assim classificadas após 2008. No Brasil, a metodologia da Capacidade de Pagamento (BRASIL, 2018) agrega três indicadores fiscais com pesos fixados de forma exógena para classificar entes subnacionais, e é o exemplo institucional mais direto de indicador sintético de risco em uso.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keepNext/>
        <w:spacing w:after="120" w:before="240" w:line="360"/>
        <w:jc w:val="left"/>
      </w:pPr>
      <w:r>
        <w:rPr>
          <w:rFonts w:ascii="Times New Roman" w:cs="Times New Roman" w:eastAsia="Times New Roman" w:hAnsi="Times New Roman"/>
          <w:b w:val="false"/>
          <w:bCs w:val="false"/>
          <w:i/>
          <w:iCs/>
          <w:sz w:val="24"/>
          <w:szCs w:val="24"/>
        </w:rPr>
        <w:t xml:space="preserve">2.4 A lacuna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da literatura nacional é o uso de variáveis isoladas ou de combinações fixadas de forma ad hoc, sem exploração formal da estrutura de covariância entre indicadores, com o default como alvo e com tratamento implícito do viés de sobrevivência. O desenho aqui proposto se distingue em seis dimensões simultâneas.</w:t>
      </w:r>
    </w:p>
    <w:p>
      <w:pPr>
        <w:spacing w:after="0" w:before="0" w:line="360"/>
        <w:ind w:firstLine="708"/>
        <w:jc w:val="both"/>
        <w:rPr>
          <w:del w:id="9156" w:author="Revisão" w:date="2026-09-28T12:00:00Z"/>
        </w:rPr>
      </w:pPr>
      <w:del w:id="9155" w:author="Revisão" w:date="2026-09-28T12:00:00Z">
        <w:r>
          <w:rPr>
            <w:rFonts w:ascii="Times New Roman" w:cs="Times New Roman" w:eastAsia="Times New Roman" w:hAnsi="Times New Roman"/>
            <w:b w:val="false"/>
            <w:bCs w:val="false"/>
            <w:i w:val="false"/>
            <w:iCs w:val="false"/>
            <w:sz w:val="24"/>
            <w:szCs w:val="24"/>
          </w:rPr>
          <w:delTex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delText>
        </w:r>
      </w:del>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cinco primeiras dizem respeito ao desenho. Constrói-se um fator latente por redução de dimensionalidade, onde a literatura brasileira emprega indicadores isolados. Adota-se a vulnerabilidade como alvo, e não o default, o que desloca a predição para um estágio em que a intervenção ainda é possível. Utilizam-se as Demonstrações Financeiras Padronizadas como painel sistemático, em lugar de amostras pareadas de dezenas de firmas, o que responde diretamente à objeção de Zmijewski (1984) quanto ao viés de amostragem por pareamento. Trata-se explicitamente o viés de sobrevivência, mantendo no painel as firmas que o deixam antes do fim do período. E testa-se a superioridade contra benchmarks pré-especificados, </w:t>
      </w:r>
      <w:del w:id="9021" w:author="Revisão" w:date="2026-09-28T12:00:00Z">
        <w:r>
          <w:rPr>
            <w:rFonts w:ascii="Times New Roman" w:cs="Times New Roman" w:eastAsia="Times New Roman" w:hAnsi="Times New Roman"/>
            <w:b w:val="false"/>
            <w:bCs w:val="false"/>
            <w:i w:val="false"/>
            <w:iCs w:val="false"/>
            <w:sz w:val="24"/>
            <w:szCs w:val="24"/>
          </w:rPr>
          <w:delText xml:space="preserve">com o teste de DeLong, DeLong e Clarke-Pearson (1988) e correção para comparações múltiplas</w:delText>
        </w:r>
      </w:del>
      <w:ins w:id="9022" w:author="Revisão" w:date="2026-09-28T12:00:00Z">
        <w:r>
          <w:rPr>
            <w:rFonts w:ascii="Times New Roman" w:cs="Times New Roman" w:eastAsia="Times New Roman" w:hAnsi="Times New Roman"/>
            <w:b w:val="false"/>
            <w:bCs w:val="false"/>
            <w:i w:val="false"/>
            <w:iCs w:val="false"/>
            <w:sz w:val="24"/>
            <w:szCs w:val="24"/>
          </w:rPr>
          <w:t xml:space="preserve">com inferência por bootstrap agrupado por firma e correção para comparações múltiplas</w:t>
        </w:r>
      </w:ins>
      <w:r>
        <w:rPr>
          <w:rFonts w:ascii="Times New Roman" w:cs="Times New Roman" w:eastAsia="Times New Roman" w:hAnsi="Times New Roman"/>
          <w:b w:val="false"/>
          <w:bCs w:val="false"/>
          <w:i w:val="false"/>
          <w:iCs w:val="false"/>
          <w:sz w:val="24"/>
          <w:szCs w:val="24"/>
        </w:rPr>
        <w:t xml:space="preserve">, em lugar da comparação informal de acurácias que predomina na literatura nacional.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sexta dimensão é a que organiza a contribuição.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isola o efeito do método de agregação. É esse o desenho adotado a partir da próxima seção.</w:t>
      </w:r>
    </w:p>
    <w:p>
      <w:pPr>
        <w:spacing w:after="0" w:before="0" w:line="360"/>
        <w:ind w:firstLine="708"/>
        <w:jc w:val="both"/>
        <w:rPr>
          <w:ins w:id="9157" w:author="Revisão" w:date="2026-09-28T12:00:00Z"/>
        </w:rPr>
      </w:pPr>
      <w:ins w:id="9158" w:author="Revisão" w:date="2026-09-28T12:00:00Z">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t>
        </w:r>
      </w:ins>
    </w:p>
    <w:p>
      <w:pPr>
        <w:keepNext/>
        <w:spacing w:after="180" w:before="360" w:line="360"/>
        <w:jc w:val="left"/>
      </w:pPr>
      <w:r>
        <w:rPr>
          <w:rFonts w:ascii="Times New Roman" w:cs="Times New Roman" w:eastAsia="Times New Roman" w:hAnsi="Times New Roman"/>
          <w:b/>
          <w:bCs/>
          <w:i w:val="false"/>
          <w:iCs w:val="false"/>
          <w:sz w:val="24"/>
          <w:szCs w:val="24"/>
        </w:rPr>
        <w:t xml:space="preserve">3.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3.1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1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x*ₖ(i,t) = [xₖ(i,t) − μₖ] / σₖ</w:t>
      </w:r>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3.2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F(i,t) = v₁′ x*(i,t)</w:t>
      </w:r>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3.3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2.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5.4.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15,0% refere-se à presença no estado de vulnerabilidade, e não à incidência de entradas. A conversão de uma medida na outra é tratada na subseção 4.3, onde se apresenta a decomposição dos eventos e a construção da amostra de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5.9.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seguindo o critério absoluto adotado por Torres Filho, Martins e Miaguti (2019) e pela literatura de firmas zumbis.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3.4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P[V(i,t+h) = 1 | F(i,t), Z(i,t)] = Φ(α + β F(i,t) + γ′ Z(i,t))</w:t>
      </w:r>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del w:id="9129" w:author="Revisão" w:date="2026-09-28T12:00:00Z">
        <w:r>
          <w:rPr>
            <w:rFonts w:ascii="Times New Roman" w:cs="Times New Roman" w:eastAsia="Times New Roman" w:hAnsi="Times New Roman"/>
            <w:b w:val="false"/>
            <w:bCs w:val="false"/>
            <w:i w:val="false"/>
            <w:iCs w:val="false"/>
            <w:sz w:val="24"/>
            <w:szCs w:val="24"/>
          </w:rPr>
          <w:delText xml:space="preserve">(HANLEY; MCNEIL, 1982)</w:delText>
        </w:r>
      </w:del>
      <w:ins w:id="9130" w:author="Revisão" w:date="2026-09-28T12:00:00Z">
        <w:r>
          <w:rPr>
            <w:rFonts w:ascii="Times New Roman" w:cs="Times New Roman" w:eastAsia="Times New Roman" w:hAnsi="Times New Roman"/>
            <w:b w:val="false"/>
            <w:bCs w:val="false"/>
            <w:i w:val="false"/>
            <w:iCs w:val="false"/>
            <w:sz w:val="24"/>
            <w:szCs w:val="24"/>
          </w:rPr>
          <w:t xml:space="preserve">(HANLEY; McNEIL, 1982)</w:t>
        </w:r>
      </w:ins>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del w:id="9015" w:author="Revisão" w:date="2026-09-28T12:00:00Z">
        <w:r>
          <w:rPr>
            <w:rFonts w:ascii="Times New Roman" w:cs="Times New Roman" w:eastAsia="Times New Roman" w:hAnsi="Times New Roman"/>
            <w:b w:val="false"/>
            <w:bCs w:val="false"/>
            <w:i w:val="false"/>
            <w:iCs w:val="false"/>
            <w:sz w:val="24"/>
            <w:szCs w:val="24"/>
          </w:rPr>
          <w:delText xml:space="preserve">de aproximadamente 3,5%</w:delText>
        </w:r>
      </w:del>
      <w:ins w:id="9016" w:author="Revisão" w:date="2026-09-28T12:00:00Z">
        <w:r>
          <w:rPr>
            <w:rFonts w:ascii="Times New Roman" w:cs="Times New Roman" w:eastAsia="Times New Roman" w:hAnsi="Times New Roman"/>
            <w:b w:val="false"/>
            <w:bCs w:val="false"/>
            <w:i w:val="false"/>
            <w:iCs w:val="false"/>
            <w:sz w:val="24"/>
            <w:szCs w:val="24"/>
          </w:rPr>
          <w:t xml:space="preserve">de aproximadamente 3%</w:t>
        </w:r>
      </w:ins>
      <w:r>
        <w:rPr>
          <w:rFonts w:ascii="Times New Roman" w:cs="Times New Roman" w:eastAsia="Times New Roman" w:hAnsi="Times New Roman"/>
          <w:b w:val="false"/>
          <w:bCs w:val="false"/>
          <w:i w:val="false"/>
          <w:iCs w:val="false"/>
          <w:sz w:val="24"/>
          <w:szCs w:val="24"/>
        </w:rPr>
        <w:t xml:space="preserve">, a área sob a curva é complementada na subseção 5.7 por métricas sensíveis à prevalência e à qualidade das probabilidades: </w:t>
      </w:r>
      <w:del w:id="9117" w:author="Revisão" w:date="2026-09-28T12:00:00Z">
        <w:r>
          <w:rPr>
            <w:rFonts w:ascii="Times New Roman" w:cs="Times New Roman" w:eastAsia="Times New Roman" w:hAnsi="Times New Roman"/>
            <w:b w:val="false"/>
            <w:bCs w:val="false"/>
            <w:i w:val="false"/>
            <w:iCs w:val="false"/>
            <w:sz w:val="24"/>
            <w:szCs w:val="24"/>
          </w:rPr>
          <w:delText xml:space="preserve">a área sob a curva de precisão e revocação, o escore de Brier, a inclinação e o intercepto de calibração</w:delText>
        </w:r>
      </w:del>
      <w:ins w:id="9118" w:author="Revisão" w:date="2026-09-28T12:00:00Z">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ins>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del w:id="9119" w:author="Revisão" w:date="2026-09-28T12:00:00Z">
        <w:r>
          <w:rPr>
            <w:rFonts w:ascii="Times New Roman" w:cs="Times New Roman" w:eastAsia="Times New Roman" w:hAnsi="Times New Roman"/>
            <w:b w:val="false"/>
            <w:bCs w:val="false"/>
            <w:i w:val="false"/>
            <w:iCs w:val="false"/>
            <w:sz w:val="24"/>
            <w:szCs w:val="24"/>
          </w:rPr>
          <w:delText xml:space="preserve">e a decisão líquida sob diferentes razões de custo</w:delText>
        </w:r>
      </w:del>
      <w:ins w:id="9120" w:author="Revisão" w:date="2026-09-28T12:00:00Z">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ins>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del w:id="9121" w:author="Revisão" w:date="2026-09-28T12:00:00Z">
        <w:r>
          <w:rPr>
            <w:rFonts w:ascii="Times New Roman" w:cs="Times New Roman" w:eastAsia="Times New Roman" w:hAnsi="Times New Roman"/>
            <w:b w:val="false"/>
            <w:bCs w:val="false"/>
            <w:i w:val="false"/>
            <w:iCs w:val="false"/>
            <w:sz w:val="24"/>
            <w:szCs w:val="24"/>
          </w:rPr>
          <w:delText xml:space="preserve">é conduzida por bootstrap agrupado por firma, com 2.000 reamostragens</w:delText>
        </w:r>
      </w:del>
      <w:ins w:id="9122" w:author="Revisão" w:date="2026-09-28T12:00:00Z">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ins>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del w:id="9123" w:author="Revisão" w:date="2026-09-28T12:00:00Z">
        <w:r>
          <w:rPr>
            <w:rFonts w:ascii="Times New Roman" w:cs="Times New Roman" w:eastAsia="Times New Roman" w:hAnsi="Times New Roman"/>
            <w:b w:val="false"/>
            <w:bCs w:val="false"/>
            <w:i w:val="false"/>
            <w:iCs w:val="false"/>
            <w:sz w:val="24"/>
            <w:szCs w:val="24"/>
          </w:rPr>
          <w:delText xml:space="preserve">A correção de Bonferroni é aplicada</w:delText>
        </w:r>
      </w:del>
      <w:ins w:id="9124" w:author="Revisão" w:date="2026-09-28T12:00:00Z">
        <w:r>
          <w:rPr>
            <w:rFonts w:ascii="Times New Roman" w:cs="Times New Roman" w:eastAsia="Times New Roman" w:hAnsi="Times New Roman"/>
            <w:b w:val="false"/>
            <w:bCs w:val="false"/>
            <w:i w:val="false"/>
            <w:iCs w:val="false"/>
            <w:sz w:val="24"/>
            <w:szCs w:val="24"/>
          </w:rPr>
          <w:t xml:space="preserve">A correção de Bonferroni (DUNN, 1961) é aplicada</w:t>
        </w:r>
      </w:ins>
      <w:r>
        <w:rPr>
          <w:rFonts w:ascii="Times New Roman" w:cs="Times New Roman" w:eastAsia="Times New Roman" w:hAnsi="Times New Roman"/>
          <w:b w:val="false"/>
          <w:bCs w:val="false"/>
          <w:i w:val="false"/>
          <w:iCs w:val="false"/>
          <w:sz w:val="24"/>
          <w:szCs w:val="24"/>
        </w:rPr>
        <w:t xml:space="preserve"> aos valores obtidos no procedimento agrupado, </w:t>
      </w:r>
      <w:del w:id="9023" w:author="Revisão" w:date="2026-09-28T12:00:00Z">
        <w:r>
          <w:rPr>
            <w:rFonts w:ascii="Times New Roman" w:cs="Times New Roman" w:eastAsia="Times New Roman" w:hAnsi="Times New Roman"/>
            <w:b w:val="false"/>
            <w:bCs w:val="false"/>
            <w:i w:val="false"/>
            <w:iCs w:val="false"/>
            <w:sz w:val="24"/>
            <w:szCs w:val="24"/>
          </w:rPr>
          <w:delText xml:space="preserve">considerando conjuntamente as sete comparações de cada horizonte</w:delText>
        </w:r>
      </w:del>
      <w:ins w:id="9024" w:author="Revisão" w:date="2026-09-28T12:00:00Z">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ins>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as duas últimas winsorizadas por ano nos percentis 1 e 99, conforme a implementação original, com os quantis estimados exclusivamente nas firmas de treino.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del w:id="9125" w:author="Revisão" w:date="2026-09-28T12:00:00Z">
        <w:r>
          <w:rPr>
            <w:rFonts w:ascii="Times New Roman" w:cs="Times New Roman" w:eastAsia="Times New Roman" w:hAnsi="Times New Roman"/>
            <w:b w:val="false"/>
            <w:bCs w:val="false"/>
            <w:i w:val="false"/>
            <w:iCs w:val="false"/>
            <w:sz w:val="24"/>
            <w:szCs w:val="24"/>
          </w:rPr>
          <w:delText xml:space="preserve">a referência usual de ao menos dez eventos por parâmetro estimado</w:delText>
        </w:r>
      </w:del>
      <w:ins w:id="9126" w:author="Revisão" w:date="2026-09-28T12:00:00Z">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ins>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5.4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5.3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cujas médias e desvios-padrão são reportados na subseção 5.6.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3.5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del w:id="9113" w:author="Revisão" w:date="2026-09-28T12:00:00Z">
        <w:r>
          <w:rPr>
            <w:rFonts w:ascii="Times New Roman" w:cs="Times New Roman" w:eastAsia="Times New Roman" w:hAnsi="Times New Roman"/>
            <w:b w:val="false"/>
            <w:bCs w:val="false"/>
            <w:i w:val="false"/>
            <w:iCs w:val="false"/>
            <w:sz w:val="24"/>
            <w:szCs w:val="24"/>
          </w:rPr>
          <w:delText xml:space="preserve">pelo número de componentes retidos pelo critério de Kaiser</w:delText>
        </w:r>
      </w:del>
      <w:ins w:id="9114" w:author="Revisão" w:date="2026-09-28T12:00:00Z">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ins>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3.6.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del w:id="9127" w:author="Revisão" w:date="2026-09-28T12:00:00Z">
        <w:r>
          <w:rPr>
            <w:rFonts w:ascii="Times New Roman" w:cs="Times New Roman" w:eastAsia="Times New Roman" w:hAnsi="Times New Roman"/>
            <w:b w:val="false"/>
            <w:bCs w:val="false"/>
            <w:i w:val="false"/>
            <w:iCs w:val="false"/>
            <w:sz w:val="24"/>
            <w:szCs w:val="24"/>
          </w:rPr>
          <w:delText xml:space="preserve">obtido por árvores impulsionadas com gradiente sobre as mesmas oito variáveis</w:delText>
        </w:r>
      </w:del>
      <w:ins w:id="9128" w:author="Revisão" w:date="2026-09-28T12:00:00Z">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ins>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5.5.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e não sustentam decisão sobre as hipóteses.</w:t>
      </w:r>
    </w:p>
    <w:p>
      <w:pPr>
        <w:keepNext/>
        <w:spacing w:after="120" w:before="240" w:line="360"/>
        <w:jc w:val="left"/>
      </w:pPr>
      <w:r>
        <w:rPr>
          <w:rFonts w:ascii="Times New Roman" w:cs="Times New Roman" w:eastAsia="Times New Roman" w:hAnsi="Times New Roman"/>
          <w:b w:val="false"/>
          <w:bCs w:val="false"/>
          <w:i/>
          <w:iCs/>
          <w:sz w:val="24"/>
          <w:szCs w:val="24"/>
        </w:rPr>
        <w:t xml:space="preserve">3.6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3.3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del w:id="9017" w:author="Revisão" w:date="2026-09-28T12:00:00Z">
        <w:r>
          <w:rPr>
            <w:rFonts w:ascii="Times New Roman" w:cs="Times New Roman" w:eastAsia="Times New Roman" w:hAnsi="Times New Roman"/>
            <w:b w:val="false"/>
            <w:bCs w:val="false"/>
            <w:i w:val="false"/>
            <w:iCs w:val="false"/>
            <w:sz w:val="24"/>
            <w:szCs w:val="24"/>
          </w:rPr>
          <w:delText xml:space="preserve">Das 149 entradas da amostra de estimação no horizonte de um ano</w:delText>
        </w:r>
      </w:del>
      <w:ins w:id="9018" w:author="Revisão" w:date="2026-09-28T12:00:00Z">
        <w:r>
          <w:rPr>
            <w:rFonts w:ascii="Times New Roman" w:cs="Times New Roman" w:eastAsia="Times New Roman" w:hAnsi="Times New Roman"/>
            <w:b w:val="false"/>
            <w:bCs w:val="false"/>
            <w:i w:val="false"/>
            <w:iCs w:val="false"/>
            <w:sz w:val="24"/>
            <w:szCs w:val="24"/>
          </w:rPr>
          <w:t xml:space="preserve">Das 149 entradas da amostra comum no horizonte de um ano</w:t>
        </w:r>
      </w:ins>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5.8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4.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4.1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del w:id="9001" w:author="Revisão" w:date="2026-09-28T12:00:00Z">
        <w:r>
          <w:rPr>
            <w:rFonts w:ascii="Times New Roman" w:cs="Times New Roman" w:eastAsia="Times New Roman" w:hAnsi="Times New Roman"/>
            <w:b w:val="false"/>
            <w:bCs w:val="false"/>
            <w:i w:val="false"/>
            <w:iCs w:val="false"/>
            <w:sz w:val="24"/>
            <w:szCs w:val="24"/>
          </w:rPr>
          <w:delText xml:space="preserve">referentes aos exercícios de 2010 a 2023</w:delText>
        </w:r>
      </w:del>
      <w:ins w:id="9002" w:author="Revisão" w:date="2026-09-28T12:00:00Z">
        <w:r>
          <w:rPr>
            <w:rFonts w:ascii="Times New Roman" w:cs="Times New Roman" w:eastAsia="Times New Roman" w:hAnsi="Times New Roman"/>
            <w:b w:val="false"/>
            <w:bCs w:val="false"/>
            <w:i w:val="false"/>
            <w:iCs w:val="false"/>
            <w:sz w:val="24"/>
            <w:szCs w:val="24"/>
          </w:rPr>
          <w:t xml:space="preserve">referentes aos exercícios de 2010 a 2025</w:t>
        </w:r>
      </w:ins>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7.690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7.419 observações firma-ano referentes a 730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584 em 2023, encerrando o período em 529. Cada firma é observada em média por 10,2 exercícios, com mediana de 9, e apenas 237 das 730 companhias comparecem em todos os anos do período. Excluem-se da amostra doze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5.8.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del w:id="9003" w:author="Revisão" w:date="2026-09-28T12:00:00Z">
        <w:r>
          <w:rPr>
            <w:rFonts w:ascii="Times New Roman" w:cs="Times New Roman" w:eastAsia="Times New Roman" w:hAnsi="Times New Roman"/>
            <w:b w:val="false"/>
            <w:bCs w:val="false"/>
            <w:i w:val="false"/>
            <w:iCs w:val="false"/>
            <w:sz w:val="24"/>
            <w:szCs w:val="24"/>
          </w:rPr>
          <w:delText xml:space="preserve">a cobertura varia de menos 82,0 a 583,3</w:delText>
        </w:r>
      </w:del>
      <w:ins w:id="9004" w:author="Revisão" w:date="2026-09-28T12:00:00Z">
        <w:r>
          <w:rPr>
            <w:rFonts w:ascii="Times New Roman" w:cs="Times New Roman" w:eastAsia="Times New Roman" w:hAnsi="Times New Roman"/>
            <w:b w:val="false"/>
            <w:bCs w:val="false"/>
            <w:i w:val="false"/>
            <w:iCs w:val="false"/>
            <w:sz w:val="24"/>
            <w:szCs w:val="24"/>
          </w:rPr>
          <w:t xml:space="preserve">a cobertura varia de menos 82,0 a 575,6</w:t>
        </w:r>
      </w:ins>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5.8.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4.2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3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7.419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del w:id="9005" w:author="Revisão" w:date="2026-09-28T12:00:00Z">
        <w:r>
          <w:rPr>
            <w:rFonts w:ascii="Times New Roman" w:cs="Times New Roman" w:eastAsia="Times New Roman" w:hAnsi="Times New Roman"/>
            <w:b w:val="false"/>
            <w:bCs w:val="false"/>
            <w:i w:val="false"/>
            <w:iCs w:val="false"/>
            <w:sz w:val="24"/>
            <w:szCs w:val="24"/>
          </w:rPr>
          <w:delText xml:space="preserve">A correlação máxima é de 0,42</w:delText>
        </w:r>
      </w:del>
      <w:ins w:id="9006" w:author="Revisão" w:date="2026-09-28T12:00:00Z">
        <w:r>
          <w:rPr>
            <w:rFonts w:ascii="Times New Roman" w:cs="Times New Roman" w:eastAsia="Times New Roman" w:hAnsi="Times New Roman"/>
            <w:b w:val="false"/>
            <w:bCs w:val="false"/>
            <w:i w:val="false"/>
            <w:iCs w:val="false"/>
            <w:sz w:val="24"/>
            <w:szCs w:val="24"/>
          </w:rPr>
          <w:t xml:space="preserve">A correlação máxima é de 0,44</w:t>
        </w:r>
      </w:ins>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del w:id="9007" w:author="Revisão" w:date="2026-09-28T12:00:00Z">
        <w:r>
          <w:rPr>
            <w:rFonts w:ascii="Times New Roman" w:cs="Times New Roman" w:eastAsia="Times New Roman" w:hAnsi="Times New Roman"/>
            <w:b w:val="false"/>
            <w:bCs w:val="false"/>
            <w:i w:val="false"/>
            <w:iCs w:val="false"/>
            <w:sz w:val="24"/>
            <w:szCs w:val="24"/>
          </w:rPr>
          <w:delText xml:space="preserve">sua correlação mais alta é de 0,22 com o retorno sobre ativos</w:delText>
        </w:r>
      </w:del>
      <w:ins w:id="9008" w:author="Revisão" w:date="2026-09-28T12:00:00Z">
        <w:r>
          <w:rPr>
            <w:rFonts w:ascii="Times New Roman" w:cs="Times New Roman" w:eastAsia="Times New Roman" w:hAnsi="Times New Roman"/>
            <w:b w:val="false"/>
            <w:bCs w:val="false"/>
            <w:i w:val="false"/>
            <w:iCs w:val="false"/>
            <w:sz w:val="24"/>
            <w:szCs w:val="24"/>
          </w:rPr>
          <w:t xml:space="preserve">sua correlação mais alta é de 0,21 com o retorno sobre ativos</w:t>
        </w:r>
      </w:ins>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5.5,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4.3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15,0% do painel. A Tabela 5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5.695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2,95%</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5.3 e 5.6.</w:t>
      </w:r>
    </w:p>
    <w:p>
      <w:pPr>
        <w:spacing w:after="0" w:before="0" w:line="360"/>
        <w:ind w:firstLine="708"/>
        <w:jc w:val="both"/>
      </w:pPr>
      <w:del w:id="9009" w:author="Revisão" w:date="2026-09-28T12:00:00Z">
        <w:r>
          <w:rPr>
            <w:rFonts w:ascii="Times New Roman" w:cs="Times New Roman" w:eastAsia="Times New Roman" w:hAnsi="Times New Roman"/>
            <w:b w:val="false"/>
            <w:bCs w:val="false"/>
            <w:i w:val="false"/>
            <w:iCs w:val="false"/>
            <w:sz w:val="24"/>
            <w:szCs w:val="24"/>
          </w:rPr>
          <w:delText xml:space="preserve">As 47 observações censuradas à esquerda</w:delText>
        </w:r>
      </w:del>
      <w:ins w:id="9010" w:author="Revisão" w:date="2026-09-28T12:00:00Z">
        <w:r>
          <w:rPr>
            <w:rFonts w:ascii="Times New Roman" w:cs="Times New Roman" w:eastAsia="Times New Roman" w:hAnsi="Times New Roman"/>
            <w:b w:val="false"/>
            <w:bCs w:val="false"/>
            <w:i w:val="false"/>
            <w:iCs w:val="false"/>
            <w:sz w:val="24"/>
            <w:szCs w:val="24"/>
          </w:rPr>
          <w:t xml:space="preserve">As 50 observações censuradas à esquerda</w:t>
        </w:r>
      </w:ins>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del w:id="9019" w:author="Revisão" w:date="2026-09-28T12:00:00Z">
        <w:r>
          <w:rPr>
            <w:rFonts w:ascii="Times New Roman" w:cs="Times New Roman" w:eastAsia="Times New Roman" w:hAnsi="Times New Roman"/>
            <w:b w:val="false"/>
            <w:bCs w:val="false"/>
            <w:i w:val="false"/>
            <w:iCs w:val="false"/>
            <w:sz w:val="24"/>
            <w:szCs w:val="24"/>
          </w:rPr>
          <w:delText xml:space="preserve">A amostra de risco de 5.695 observações resulta da exclusão, a partir do painel de 7.419, das 1.115 observações em situação de vulnerabilidade e das 609 observações correspondentes ao último exercício disponível de cada firma, para as quais o desfecho em t + 1 não é observável.</w:delText>
        </w:r>
      </w:del>
      <w:ins w:id="9020" w:author="Revisão" w:date="2026-09-28T12:00:00Z">
        <w:r>
          <w:rPr>
            <w:rFonts w:ascii="Times New Roman" w:cs="Times New Roman" w:eastAsia="Times New Roman" w:hAnsi="Times New Roman"/>
            <w:b w:val="false"/>
            <w:bCs w:val="false"/>
            <w:i w:val="false"/>
            <w:iCs w:val="false"/>
            <w:sz w:val="24"/>
            <w:szCs w:val="24"/>
          </w:rPr>
          <w:t xml:space="preserve">A amostra de risco reúne as 5.695 observações cuja firma estava fora do estado de vulnerabilidade no exercício anterior e que, portanto, podem registrar uma entrada. Ficam fora dela as 921 observações de permanência no estado ou censuradas à esquerda e as 803 observações sem exercício anterior saudável observado, das quais 689 correspondem à primeira aparição da firma no painel.</w:t>
        </w:r>
      </w:ins>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5.086 observações e 153 entradas, ou 3,01%. As duas medidas são distintas e ambas relevantes: 3,41% é a incidência de entrada no painel, </w:t>
      </w:r>
      <w:del w:id="9011" w:author="Revisão" w:date="2026-09-28T12:00:00Z">
        <w:r>
          <w:rPr>
            <w:rFonts w:ascii="Times New Roman" w:cs="Times New Roman" w:eastAsia="Times New Roman" w:hAnsi="Times New Roman"/>
            <w:b w:val="false"/>
            <w:bCs w:val="false"/>
            <w:i w:val="false"/>
            <w:iCs w:val="false"/>
            <w:sz w:val="24"/>
            <w:szCs w:val="24"/>
          </w:rPr>
          <w:delText xml:space="preserve">ao passo que 3,59% é a frequência do evento</w:delText>
        </w:r>
      </w:del>
      <w:ins w:id="9012" w:author="Revisão" w:date="2026-09-28T12:00:00Z">
        <w:r>
          <w:rPr>
            <w:rFonts w:ascii="Times New Roman" w:cs="Times New Roman" w:eastAsia="Times New Roman" w:hAnsi="Times New Roman"/>
            <w:b w:val="false"/>
            <w:bCs w:val="false"/>
            <w:i w:val="false"/>
            <w:iCs w:val="false"/>
            <w:sz w:val="24"/>
            <w:szCs w:val="24"/>
          </w:rPr>
          <w:t xml:space="preserve">ao passo que 3,01% é a frequência do evento</w:t>
        </w:r>
      </w:ins>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3.3. Aplicada à amostra de risco, ela produz taxa de eventos de 3,41%, compatível com a frequência usual na literatura. A trajetória temporal das duas séries reforça a distinção. Sob a codificação por estado, </w:t>
      </w:r>
      <w:del w:id="9013" w:author="Revisão" w:date="2026-09-28T12:00:00Z">
        <w:r>
          <w:rPr>
            <w:rFonts w:ascii="Times New Roman" w:cs="Times New Roman" w:eastAsia="Times New Roman" w:hAnsi="Times New Roman"/>
            <w:b w:val="false"/>
            <w:bCs w:val="false"/>
            <w:i w:val="false"/>
            <w:iCs w:val="false"/>
            <w:sz w:val="24"/>
            <w:szCs w:val="24"/>
          </w:rPr>
          <w:delText xml:space="preserve">a taxa cresce de forma praticamente monotônica ao longo do período, de 6,0% em 2010 a 23,0% em 2017</w:delText>
        </w:r>
      </w:del>
      <w:ins w:id="9014" w:author="Revisão" w:date="2026-09-28T12:00:00Z">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ins>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5.8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5.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5.1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7.419 observações do painel. A Tabela 6 reporta a decomposição completa e a Figura 1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11,57%</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10,50%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78,87%</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88,49%</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0,509</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94,85%</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Autovalores dos componentes principais</w:t>
      </w:r>
    </w:p>
    <w:p>
      <w:pPr>
        <w:spacing w:after="60" w:before="120"/>
        <w:jc w:val="center"/>
      </w:pPr>
      <w:r>
        <w:drawing>
          <wp:inline distT="0" distB="0" distL="0" distR="0">
            <wp:extent cx="5486400" cy="378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78895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26,92% da variância total, </w:t>
      </w:r>
      <w:del w:id="9115" w:author="Revisão" w:date="2026-09-28T12:00:00Z">
        <w:r>
          <w:rPr>
            <w:rFonts w:ascii="Times New Roman" w:cs="Times New Roman" w:eastAsia="Times New Roman" w:hAnsi="Times New Roman"/>
            <w:b w:val="false"/>
            <w:bCs w:val="false"/>
            <w:i w:val="false"/>
            <w:iCs w:val="false"/>
            <w:sz w:val="24"/>
            <w:szCs w:val="24"/>
          </w:rPr>
          <w:delText xml:space="preserve">e o critério de Kaiser retém 3 componentes, que juntos explicam 56,80%.</w:delText>
        </w:r>
      </w:del>
      <w:ins w:id="9116" w:author="Revisão" w:date="2026-09-28T12:00:00Z">
        <w:r>
          <w:rPr>
            <w:rFonts w:ascii="Times New Roman" w:cs="Times New Roman" w:eastAsia="Times New Roman" w:hAnsi="Times New Roman"/>
            <w:b w:val="false"/>
            <w:bCs w:val="false"/>
            <w:i w:val="false"/>
            <w:iCs w:val="false"/>
            <w:sz w:val="24"/>
            <w:szCs w:val="24"/>
          </w:rPr>
          <w:t xml:space="preserve">e o critério de Kaiser retém 3 componentes, que juntos explicam 56,80%. A análise paralela de Horn (1965), mais conservadora, retém o mesmo número.</w:t>
        </w:r>
      </w:ins>
      <w:r>
        <w:rPr>
          <w:rFonts w:ascii="Times New Roman" w:cs="Times New Roman" w:eastAsia="Times New Roman" w:hAnsi="Times New Roman"/>
          <w:b w:val="false"/>
          <w:bCs w:val="false"/>
          <w:i w:val="false"/>
          <w:iCs w:val="false"/>
          <w:sz w:val="24"/>
          <w:szCs w:val="24"/>
        </w:rPr>
        <w:t xml:space="preserve"> A Tabela 7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5.6,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26,92%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5.5 mostra a que rota de deterioração essa dimensão corresponde, </w:t>
      </w:r>
      <w:del w:id="9107" w:author="Revisão" w:date="2026-09-28T12:00:00Z">
        <w:r>
          <w:rPr>
            <w:rFonts w:ascii="Times New Roman" w:cs="Times New Roman" w:eastAsia="Times New Roman" w:hAnsi="Times New Roman"/>
            <w:b w:val="false"/>
            <w:bCs w:val="false"/>
            <w:i w:val="false"/>
            <w:iCs w:val="false"/>
            <w:sz w:val="24"/>
            <w:szCs w:val="24"/>
          </w:rPr>
          <w:delText xml:space="preserve">e a qual delas o escore é cego</w:delText>
        </w:r>
      </w:del>
      <w:ins w:id="9108" w:author="Revisão" w:date="2026-09-28T12:00:00Z">
        <w:r>
          <w:rPr>
            <w:rFonts w:ascii="Times New Roman" w:cs="Times New Roman" w:eastAsia="Times New Roman" w:hAnsi="Times New Roman"/>
            <w:b w:val="false"/>
            <w:bCs w:val="false"/>
            <w:i w:val="false"/>
            <w:iCs w:val="false"/>
            <w:sz w:val="24"/>
            <w:szCs w:val="24"/>
          </w:rPr>
          <w:t xml:space="preserve">e em qual delas o escore tem desempenho fraco</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5.8, </w:t>
      </w:r>
      <w:del w:id="9035" w:author="Revisão" w:date="2026-09-28T12:00:00Z">
        <w:r>
          <w:rPr>
            <w:rFonts w:ascii="Times New Roman" w:cs="Times New Roman" w:eastAsia="Times New Roman" w:hAnsi="Times New Roman"/>
            <w:b w:val="false"/>
            <w:bCs w:val="false"/>
            <w:i w:val="false"/>
            <w:iCs w:val="false"/>
            <w:sz w:val="24"/>
            <w:szCs w:val="24"/>
          </w:rPr>
          <w:delText xml:space="preserve">em que a soma do primeiro e do segundo componentes reduz a área sob a curva fora da amostra de 0,764 para 0,717</w:delText>
        </w:r>
      </w:del>
      <w:ins w:id="9036" w:author="Revisão" w:date="2026-09-28T12:00:00Z">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0,764 para 0,706 ou 0,665</w:t>
        </w:r>
      </w:ins>
      <w:r>
        <w:rPr>
          <w:rFonts w:ascii="Times New Roman" w:cs="Times New Roman" w:eastAsia="Times New Roman" w:hAnsi="Times New Roman"/>
          <w:b w:val="false"/>
          <w:bCs w:val="false"/>
          <w:i w:val="false"/>
          <w:iCs w:val="false"/>
          <w:sz w:val="24"/>
          <w:szCs w:val="24"/>
        </w:rPr>
        <w:t xml:space="preserve">, ilustra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5.2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3.3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−0,400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−0,384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0,434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0,416</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abrangendo 2.265 firma-anos, ou 30,5% do painel. Ambos os escores são construídos por componentes principais sobre o painel completo. Estatísticas de Kolmogorov-Smirnov significativas a menos de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escore médio das observações em posição Ponzi é de 0,909, contra −0,400 para as demais, e a área sob a curva para discriminar essa posição é de 0,783. Excluída a cobertura de juros, ela passa a 0,770. A queda de 0,013 ponto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5.3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 área sob a curva ROC dos modelos dentro da amostra, com e sem controles, e fora da amostra sob o procedimento descrito na subseção 3.4.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del w:id="9039" w:author="Revisão" w:date="2026-09-28T12:00:00Z">
              <w:r>
                <w:rPr>
                  <w:rFonts w:ascii="Times New Roman" w:cs="Times New Roman" w:eastAsia="Times New Roman" w:hAnsi="Times New Roman"/>
                  <w:b w:val="false"/>
                  <w:bCs w:val="false"/>
                  <w:i w:val="false"/>
                  <w:iCs w:val="false"/>
                  <w:sz w:val="20"/>
                  <w:szCs w:val="20"/>
                </w:rPr>
                <w:delText xml:space="preserve">0,788</w:delText>
              </w:r>
            </w:del>
            <w:ins w:id="9040" w:author="Revisão" w:date="2026-09-28T12:00:00Z">
              <w:r>
                <w:rPr>
                  <w:rFonts w:ascii="Times New Roman" w:cs="Times New Roman" w:eastAsia="Times New Roman" w:hAnsi="Times New Roman"/>
                  <w:b w:val="false"/>
                  <w:bCs w:val="false"/>
                  <w:i w:val="false"/>
                  <w:iCs w:val="false"/>
                  <w:sz w:val="20"/>
                  <w:szCs w:val="20"/>
                </w:rPr>
                <w:t xml:space="preserve">0,810</w:t>
              </w:r>
            </w:ins>
          </w:p>
        </w:tc>
        <w:tc>
          <w:tcPr>
            <w:tcW w:type="dxa" w:w="1500"/>
            <w:tcMar>
              <w:top w:type="dxa" w:w="60"/>
              <w:left w:type="dxa" w:w="80"/>
              <w:bottom w:type="dxa" w:w="60"/>
              <w:right w:type="dxa" w:w="80"/>
            </w:tcMar>
          </w:tcPr>
          <w:p>
            <w:pPr>
              <w:spacing w:after="0" w:before="0" w:line="240"/>
              <w:jc w:val="center"/>
            </w:pPr>
            <w:del w:id="9041" w:author="Revisão" w:date="2026-09-28T12:00:00Z">
              <w:r>
                <w:rPr>
                  <w:rFonts w:ascii="Times New Roman" w:cs="Times New Roman" w:eastAsia="Times New Roman" w:hAnsi="Times New Roman"/>
                  <w:b w:val="false"/>
                  <w:bCs w:val="false"/>
                  <w:i w:val="false"/>
                  <w:iCs w:val="false"/>
                  <w:sz w:val="20"/>
                  <w:szCs w:val="20"/>
                </w:rPr>
                <w:delText xml:space="preserve">0,703</w:delText>
              </w:r>
            </w:del>
            <w:ins w:id="9042"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1600"/>
            <w:tcMar>
              <w:top w:type="dxa" w:w="60"/>
              <w:left w:type="dxa" w:w="80"/>
              <w:bottom w:type="dxa" w:w="60"/>
              <w:right w:type="dxa" w:w="80"/>
            </w:tcMar>
          </w:tcPr>
          <w:p>
            <w:pPr>
              <w:spacing w:after="0" w:before="0" w:line="240"/>
              <w:jc w:val="center"/>
            </w:pPr>
            <w:del w:id="9043" w:author="Revisão" w:date="2026-09-28T12:00:00Z">
              <w:r>
                <w:rPr>
                  <w:rFonts w:ascii="Times New Roman" w:cs="Times New Roman" w:eastAsia="Times New Roman" w:hAnsi="Times New Roman"/>
                  <w:b w:val="false"/>
                  <w:bCs w:val="false"/>
                  <w:i w:val="false"/>
                  <w:iCs w:val="false"/>
                  <w:sz w:val="20"/>
                  <w:szCs w:val="20"/>
                </w:rPr>
                <w:delText xml:space="preserve">+0,085</w:delText>
              </w:r>
            </w:del>
            <w:ins w:id="9044" w:author="Revisão" w:date="2026-09-28T12:00:00Z">
              <w:r>
                <w:rPr>
                  <w:rFonts w:ascii="Times New Roman" w:cs="Times New Roman" w:eastAsia="Times New Roman" w:hAnsi="Times New Roman"/>
                  <w:b w:val="false"/>
                  <w:bCs w:val="false"/>
                  <w:i w:val="false"/>
                  <w:iCs w:val="false"/>
                  <w:sz w:val="20"/>
                  <w:szCs w:val="20"/>
                </w:rPr>
                <w:t xml:space="preserve">+0,054</w:t>
              </w:r>
            </w:ins>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0,042 ponto. Os efeitos fixos fornecem aos indicadores pobres informação que eles próprios não carregam, razão pela qual a inferência é conduzida sobre a especificação sem controles, conforme 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 comparação fora da amostra nos dois horizontes, com inferência por bootstrap agrupado por firma, e a Figura 2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[+0,090; +0,184]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[+0,080;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1"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2"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[−0,075; +0,016]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0,188</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3"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4"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 +0,105]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0,020</w:t>
            </w:r>
          </w:p>
        </w:tc>
        <w:tc>
          <w:tcPr>
            <w:tcW w:type="dxa" w:w="1000"/>
            <w:tcMar>
              <w:top w:type="dxa" w:w="60"/>
              <w:left w:type="dxa" w:w="80"/>
              <w:bottom w:type="dxa" w:w="60"/>
              <w:right w:type="dxa" w:w="80"/>
            </w:tcMar>
          </w:tcPr>
          <w:p>
            <w:pPr>
              <w:spacing w:after="0" w:before="0" w:line="240"/>
              <w:jc w:val="center"/>
            </w:pPr>
            <w:del w:id="9027" w:author="Revisão" w:date="2026-09-28T12:00:00Z">
              <w:r>
                <w:rPr>
                  <w:rFonts w:ascii="Times New Roman" w:cs="Times New Roman" w:eastAsia="Times New Roman" w:hAnsi="Times New Roman"/>
                  <w:b w:val="false"/>
                  <w:bCs w:val="false"/>
                  <w:i w:val="false"/>
                  <w:iCs w:val="false"/>
                  <w:sz w:val="20"/>
                  <w:szCs w:val="20"/>
                </w:rPr>
                <w:delText xml:space="preserve">0,140</w:delText>
              </w:r>
            </w:del>
            <w:ins w:id="9028" w:author="Revisão" w:date="2026-09-28T12:00:00Z">
              <w:r>
                <w:rPr>
                  <w:rFonts w:ascii="Times New Roman" w:cs="Times New Roman" w:eastAsia="Times New Roman" w:hAnsi="Times New Roman"/>
                  <w:b w:val="false"/>
                  <w:bCs w:val="false"/>
                  <w:i w:val="false"/>
                  <w:iCs w:val="false"/>
                  <w:sz w:val="20"/>
                  <w:szCs w:val="20"/>
                </w:rPr>
                <w:t xml:space="preserve">0,120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000"/>
            <w:tcMar>
              <w:top w:type="dxa" w:w="60"/>
              <w:left w:type="dxa" w:w="80"/>
              <w:bottom w:type="dxa" w:w="60"/>
              <w:right w:type="dxa" w:w="80"/>
            </w:tcMar>
          </w:tcPr>
          <w:p>
            <w:pPr>
              <w:spacing w:after="0" w:before="0" w:line="240"/>
              <w:jc w:val="center"/>
            </w:pPr>
            <w:del w:id="9029" w:author="Revisão" w:date="2026-09-28T12:00:00Z">
              <w:r>
                <w:rPr>
                  <w:rFonts w:ascii="Times New Roman" w:cs="Times New Roman" w:eastAsia="Times New Roman" w:hAnsi="Times New Roman"/>
                  <w:b w:val="false"/>
                  <w:bCs w:val="false"/>
                  <w:i w:val="false"/>
                  <w:iCs w:val="false"/>
                  <w:sz w:val="20"/>
                  <w:szCs w:val="20"/>
                </w:rPr>
                <w:delText xml:space="preserve">0,805</w:delText>
              </w:r>
            </w:del>
            <w:ins w:id="9030" w:author="Revisão" w:date="2026-09-28T12:00:00Z">
              <w:r>
                <w:rPr>
                  <w:rFonts w:ascii="Times New Roman" w:cs="Times New Roman" w:eastAsia="Times New Roman" w:hAnsi="Times New Roman"/>
                  <w:b w:val="false"/>
                  <w:bCs w:val="false"/>
                  <w:i w:val="false"/>
                  <w:iCs w:val="false"/>
                  <w:sz w:val="20"/>
                  <w:szCs w:val="20"/>
                </w:rPr>
                <w:t xml:space="preserve">0,690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no horizonte de um ano, e 4.294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del w:id="9025" w:author="Revisão" w:date="2026-09-28T12:00:00Z">
        <w:r>
          <w:rPr>
            <w:rFonts w:ascii="Times New Roman" w:cs="Times New Roman" w:eastAsia="Times New Roman" w:hAnsi="Times New Roman"/>
            <w:b w:val="false"/>
            <w:bCs w:val="false"/>
            <w:i w:val="false"/>
            <w:iCs w:val="false"/>
            <w:sz w:val="20"/>
            <w:szCs w:val="20"/>
          </w:rPr>
          <w:delText xml:space="preserve">p ajustado por Bonferroni para as sete comparações de cada horizonte</w:delText>
        </w:r>
      </w:del>
      <w:ins w:id="9026" w:author="Revisão" w:date="2026-09-28T12:00:00Z">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ins>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Curvas ROC fora da amostra, horizonte de um ano</w:t>
      </w:r>
    </w:p>
    <w:p>
      <w:pPr>
        <w:spacing w:after="60" w:before="120"/>
        <w:jc w:val="center"/>
      </w:pPr>
      <w:r>
        <w:drawing>
          <wp:inline distT="0" distB="0" distL="0" distR="0">
            <wp:extent cx="5486400" cy="5220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522051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0,764, contra 0,894 da cobertura de juros, 0,874 do retorno sobre ativos e 0,900 da referência não linear. Todas essas diferenças resistem à correção de Bonferroni. Como H2 exige superioridade sobre todos os benchmarks, H2 é rejeitada sobre o agregado dos eventos. A subseção 5.5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que ele supera por 0,030 ponto sem significância estatística.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11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[+0,077; +0,265]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0,713</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 +0,259]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[+0,045; +0,252]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3.250 observações; teste com desfechos de 2022 a 2025, 40 entradas em 1.796 observações no horizonte de um ano e 34 em 1.617 no de dois. Parâmetros não supervisionados estimados apenas com exercícios anteriores ao corte. Intervalos por bootstrap agrupado por firma; no horizonte de dois anos nenhuma diferença é significativa.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esquema temporal reproduz a ordenação da validação cruzada no horizonte de um ano, com 40 entradas no período de teste e todas as diferenças significativas. A conclusão sobre H2, portanto, não depende do esquema de avaliação. </w:t>
      </w:r>
      <w:del w:id="9083" w:author="Revisão" w:date="2026-09-28T12:00:00Z">
        <w:r>
          <w:rPr>
            <w:rFonts w:ascii="Times New Roman" w:cs="Times New Roman" w:eastAsia="Times New Roman" w:hAnsi="Times New Roman"/>
            <w:b w:val="false"/>
            <w:bCs w:val="false"/>
            <w:i w:val="false"/>
            <w:iCs w:val="false"/>
            <w:sz w:val="24"/>
            <w:szCs w:val="24"/>
          </w:rPr>
          <w:delText xml:space="preserve">No horizonte de dois anos, com 34 entradas, nenhuma diferença alcança significância, e o esquema temporal é informativo apenas quanto à direção.</w:delText>
        </w:r>
      </w:del>
      <w:ins w:id="9084" w:author="Revisão" w:date="2026-09-28T12:00:00Z">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exceção à ordenação é o modelo de Brito e Assaf Neto, que no esquema temporal supera o escore sintético, com 0,787 contra 0,744, ao contrário do que ocorre na validação cruzada.</w:t>
        </w:r>
      </w:ins>
    </w:p>
    <w:p>
      <w:pPr>
        <w:keepNext/>
        <w:spacing w:after="120" w:before="240" w:line="360"/>
        <w:jc w:val="left"/>
      </w:pPr>
      <w:r>
        <w:rPr>
          <w:rFonts w:ascii="Times New Roman" w:cs="Times New Roman" w:eastAsia="Times New Roman" w:hAnsi="Times New Roman"/>
          <w:b w:val="false"/>
          <w:bCs w:val="false"/>
          <w:i/>
          <w:iCs/>
          <w:sz w:val="24"/>
          <w:szCs w:val="24"/>
        </w:rPr>
        <w:t xml:space="preserve">5.4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12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0,551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4.321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6.662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5.912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coeficiente é positivo e significativo a menos de um por mil nos quatro modelos. Sob a especificação principal, o escore antecipa a entrada em vulnerabilidade tanto em um ano quanto em dois, com coeficientes de 0,344 e 0,216. A evidência sustenta H3, e o horizonte de dois anos é o que a sustenta de forma mais estrita: pelas razões expostas na subseção 3.6,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0,639 sob estado para 0,344 sob transição no horizonte de um ano, mede o quanto da associação aparente decorria de reconhecer uma condição já instalada, e não de antecipá-la. O pseudo R² acompanha o mesmo movimento, de 0,345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3.4. A verificação pertinente é se o resultado depende disso, e não depende: na especificação com controle apenas de porte, que opera em 51,00 eventos por parâmetro, o coeficiente é de 0,332; sem controles, em 76,50 eventos por parâmetro, é de 0,348; e na especificação completa, de 0,344. Os três são significativos a menos de um por mil,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13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571"/>
        <w:gridCol w:w="1000"/>
        <w:gridCol w:w="1100"/>
        <w:gridCol w:w="1100"/>
        <w:gridCol w:w="1100"/>
        <w:gridCol w:w="1100"/>
        <w:gridCol w:w="1100"/>
      </w:tblGrid>
      <w:tr>
        <w:trPr>
          <w:tblHeader/>
        </w:trPr>
        <w:tc>
          <w:tcPr>
            <w:tcW w:type="dxa" w:w="25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0,833</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10, com a diferença de que os valores desta tabela são médias sobre dez atribuições, e não os da atribuição de referência.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del w:id="9075" w:author="Revisão" w:date="2026-09-28T12:00:00Z">
        <w:r>
          <w:rPr>
            <w:rFonts w:ascii="Times New Roman" w:cs="Times New Roman" w:eastAsia="Times New Roman" w:hAnsi="Times New Roman"/>
            <w:b w:val="false"/>
            <w:bCs w:val="false"/>
            <w:i w:val="false"/>
            <w:iCs w:val="false"/>
            <w:sz w:val="24"/>
            <w:szCs w:val="24"/>
          </w:rPr>
          <w:delText xml:space="preserve">o escore sintético fica muito atrás: 0,649 em um ano</w:delText>
        </w:r>
      </w:del>
      <w:ins w:id="9076" w:author="Revisão" w:date="2026-09-28T12:00:00Z">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14, alcança 0,649 em um ano</w:t>
        </w:r>
      </w:ins>
      <w:r>
        <w:rPr>
          <w:rFonts w:ascii="Times New Roman" w:cs="Times New Roman" w:eastAsia="Times New Roman" w:hAnsi="Times New Roman"/>
          <w:b w:val="false"/>
          <w:bCs w:val="false"/>
          <w:i w:val="false"/>
          <w:iCs w:val="false"/>
          <w:sz w:val="24"/>
          <w:szCs w:val="24"/>
        </w:rPr>
        <w:t xml:space="preserve">, contra 0,973 da cobertura de juros, diferença de 0,324 ponto com intervalo que exclui o zero com folga. </w:t>
      </w:r>
      <w:del w:id="9077" w:author="Revisão" w:date="2026-09-28T12:00:00Z">
        <w:r>
          <w:rPr>
            <w:rFonts w:ascii="Times New Roman" w:cs="Times New Roman" w:eastAsia="Times New Roman" w:hAnsi="Times New Roman"/>
            <w:b w:val="false"/>
            <w:bCs w:val="false"/>
            <w:i w:val="false"/>
            <w:iCs w:val="false"/>
            <w:sz w:val="24"/>
            <w:szCs w:val="24"/>
          </w:rPr>
          <w:delText xml:space="preserve">Nas entradas por patrimônio líquido negativo, o escore alcança 0,816</w:delText>
        </w:r>
      </w:del>
      <w:ins w:id="9078" w:author="Revisão" w:date="2026-09-28T12:00:00Z">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w:t>
        </w:r>
      </w:ins>
      <w:r>
        <w:rPr>
          <w:rFonts w:ascii="Times New Roman" w:cs="Times New Roman" w:eastAsia="Times New Roman" w:hAnsi="Times New Roman"/>
          <w:b w:val="false"/>
          <w:bCs w:val="false"/>
          <w:i w:val="false"/>
          <w:iCs w:val="false"/>
          <w:sz w:val="24"/>
          <w:szCs w:val="24"/>
        </w:rPr>
        <w:t xml:space="preserve"> e fica nominalmente à frente da cobertura de juros e do retorno sobre ativos, por 0,030 e 0,032 ponto, mas os intervalos contêm o zero: o que se observa é empate, e não superioridade. A única diferença significativa nesse tipo de entrada é contra o escore supervisionado, que o escore sintético supera por 0,066 ponto. Nas entradas por recuperação judicial nenhuma diferença é distinguível, com 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13 não são mutuamente exclusivos, porque uma entrada pode satisfazer mais de um critério. A Tabela 14 repete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400"/>
        <w:gridCol w:w="1100"/>
        <w:gridCol w:w="1400"/>
        <w:gridCol w:w="8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0,649</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[+0,244; +0,411]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+0,291</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 +0,371]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[−0,093; +0,038]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 −0,003]</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 +0,117]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 +0,136]</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[+0,057; +0,233]</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[+0,196; +0,353]</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[−0,069; +0,063]</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[−0,139; −0,023]</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 +0,069]</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 +0,148]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3.5.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Desempenho fora da amostra por rota de deterioração</w:t>
      </w:r>
    </w:p>
    <w:p>
      <w:pPr>
        <w:spacing w:after="60" w:before="120"/>
        <w:jc w:val="center"/>
      </w:pPr>
      <w:r>
        <w:drawing>
          <wp:inline distT="0" distB="0" distL="0" distR="0">
            <wp:extent cx="5486400" cy="2535440"/>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2" cstate="none"/>
                    <a:srcRect/>
                    <a:stretch>
                      <a:fillRect/>
                    </a:stretch>
                  </pic:blipFill>
                  <pic:spPr bwMode="auto">
                    <a:xfrm>
                      <a:off x="0" y="0"/>
                      <a:ext cx="5486400" cy="253544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0,125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0,857, o escore supervisionado 0,856 e a referência não linear 0,858, sem diferença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del w:id="9079" w:author="Revisão" w:date="2026-09-28T12:00:00Z">
        <w:r>
          <w:rPr>
            <w:rFonts w:ascii="Times New Roman" w:cs="Times New Roman" w:eastAsia="Times New Roman" w:hAnsi="Times New Roman"/>
            <w:b w:val="false"/>
            <w:bCs w:val="false"/>
            <w:i w:val="false"/>
            <w:iCs w:val="false"/>
            <w:sz w:val="24"/>
            <w:szCs w:val="24"/>
          </w:rPr>
          <w:delText xml:space="preserve">Ela não basta, porém, porque no horizonte de dois anos</w:delText>
        </w:r>
      </w:del>
      <w:ins w:id="9080" w:author="Revisão" w:date="2026-09-28T12:00:00Z">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0,591. A explicação mecânica responde, portanto, pela maior parte do contraste no horizonte de um ano. Ela não basta, porém, porque no horizonte de dois anos</w:t>
        </w:r>
      </w:ins>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del w:id="9093" w:author="Revisão" w:date="2026-09-28T12:00:00Z">
        <w:r>
          <w:rPr>
            <w:rFonts w:ascii="Times New Roman" w:cs="Times New Roman" w:eastAsia="Times New Roman" w:hAnsi="Times New Roman"/>
            <w:b w:val="false"/>
            <w:bCs w:val="false"/>
            <w:i w:val="false"/>
            <w:iCs w:val="false"/>
            <w:sz w:val="24"/>
            <w:szCs w:val="24"/>
          </w:rPr>
          <w:delText xml:space="preserve">A segunda explicação é de composição, e é a que os dados sustentam:</w:delText>
        </w:r>
      </w:del>
      <w:ins w:id="9094" w:author="Revisão" w:date="2026-09-28T12:00:00Z">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ins>
      <w:r>
        <w:rPr>
          <w:rFonts w:ascii="Times New Roman" w:cs="Times New Roman" w:eastAsia="Times New Roman" w:hAnsi="Times New Roman"/>
          <w:b w:val="false"/>
          <w:bCs w:val="false"/>
          <w:i w:val="false"/>
          <w:iCs w:val="false"/>
          <w:sz w:val="24"/>
          <w:szCs w:val="24"/>
        </w:rPr>
        <w:t xml:space="preserve"> a Tabela 15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15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1,430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22,171</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del w:id="9071" w:author="Revisão" w:date="2026-09-28T12:00:00Z">
        <w:r>
          <w:rPr>
            <w:rFonts w:ascii="Times New Roman" w:cs="Times New Roman" w:eastAsia="Times New Roman" w:hAnsi="Times New Roman"/>
            <w:b w:val="false"/>
            <w:bCs w:val="false"/>
            <w:i w:val="false"/>
            <w:iCs w:val="false"/>
            <w:sz w:val="20"/>
            <w:szCs w:val="20"/>
          </w:rPr>
          <w:delText xml:space="preserve">As duas primeiras colunas referem-se a entradas que satisfazem apenas o critério indicado.</w:delText>
        </w:r>
      </w:del>
      <w:ins w:id="9072" w:author="Revisão" w:date="2026-09-28T12:00:00Z">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1,430 e capital de giro superior. São menores e apresentam rentabilidade mais baixa, mas seu balanço é, nas dimensões de estrutura, melhor que o da firma mediana. Como o primeiro componente carrega sobretudo capital de giro, com 0,532, alavancagem, com 0,415, e liquidez corrente, com 0,373, o escore lê essas firmas como robustas. As que entram por patrimônio líquido negativo apresentam o perfil oposto, com alavancagem de 0,425 e liquidez de 0,944, e ali o escore acompanha as melhores alternativas. </w:t>
      </w:r>
      <w:del w:id="9095" w:author="Revisão" w:date="2026-09-28T12:00:00Z">
        <w:r>
          <w:rPr>
            <w:rFonts w:ascii="Times New Roman" w:cs="Times New Roman" w:eastAsia="Times New Roman" w:hAnsi="Times New Roman"/>
            <w:b w:val="false"/>
            <w:bCs w:val="false"/>
            <w:i w:val="false"/>
            <w:iCs w:val="false"/>
            <w:sz w:val="24"/>
            <w:szCs w:val="24"/>
          </w:rPr>
          <w:delText xml:space="preserve">A limitação não é de agregação em geral, e sim da composição deste escore: ele mede deterioração patrimonial e é cego à rota que começa no resultado operacional de firmas pouco endividadas.</w:delText>
        </w:r>
      </w:del>
      <w:ins w:id="9096"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p>
    <w:p>
      <w:pPr>
        <w:keepNext/>
        <w:spacing w:after="120" w:before="240" w:line="360"/>
        <w:jc w:val="left"/>
      </w:pPr>
      <w:r>
        <w:rPr>
          <w:rFonts w:ascii="Times New Roman" w:cs="Times New Roman" w:eastAsia="Times New Roman" w:hAnsi="Times New Roman"/>
          <w:b w:val="false"/>
          <w:bCs w:val="false"/>
          <w:i/>
          <w:iCs/>
          <w:sz w:val="24"/>
          <w:szCs w:val="24"/>
        </w:rPr>
        <w:t xml:space="preserve">5.6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16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16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36,6%</w:t>
            </w:r>
          </w:p>
        </w:tc>
      </w:tr>
      <w:tr>
        <w:trPr>
          <w:tblHeader w:val="false"/>
        </w:trPr>
        <w:tc>
          <w:tcPr>
            <w:tcW w:type="dxa" w:w="1700"/>
            <w:tcMar>
              <w:top w:type="dxa" w:w="60"/>
              <w:left w:type="dxa" w:w="80"/>
              <w:bottom w:type="dxa" w:w="60"/>
              <w:right w:type="dxa" w:w="80"/>
            </w:tcMar>
          </w:tcPr>
          <w:p>
            <w:pPr>
              <w:spacing w:after="0" w:before="0" w:line="240"/>
              <w:jc w:val="left"/>
            </w:pPr>
            <w:del w:id="9073" w:author="Revisão" w:date="2026-09-28T12:00:00Z">
              <w:r>
                <w:rPr>
                  <w:rFonts w:ascii="Times New Roman" w:cs="Times New Roman" w:eastAsia="Times New Roman" w:hAnsi="Times New Roman"/>
                  <w:b w:val="false"/>
                  <w:bCs w:val="false"/>
                  <w:i w:val="false"/>
                  <w:iCs w:val="false"/>
                  <w:sz w:val="20"/>
                  <w:szCs w:val="20"/>
                </w:rPr>
                <w:delText xml:space="preserve">EBITDA</w:delText>
              </w:r>
            </w:del>
            <w:ins w:id="9074" w:author="Revisão" w:date="2026-09-28T12:00:00Z">
              <w:r>
                <w:rPr>
                  <w:rFonts w:ascii="Times New Roman" w:cs="Times New Roman" w:eastAsia="Times New Roman" w:hAnsi="Times New Roman"/>
                  <w:b w:val="false"/>
                  <w:bCs w:val="false"/>
                  <w:i w:val="false"/>
                  <w:iCs w:val="false"/>
                  <w:sz w:val="20"/>
                  <w:szCs w:val="20"/>
                </w:rPr>
                <w:t xml:space="preserve">MEB</w:t>
              </w:r>
            </w:ins>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60,8%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55,2%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5.5,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0,764 para 0,875,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del w:id="9097" w:author="Revisão" w:date="2026-09-28T12:00:00Z">
        <w:r>
          <w:rPr>
            <w:rFonts w:ascii="Times New Roman" w:cs="Times New Roman" w:eastAsia="Times New Roman" w:hAnsi="Times New Roman"/>
            <w:b w:val="false"/>
            <w:bCs w:val="false"/>
            <w:i w:val="false"/>
            <w:iCs w:val="false"/>
            <w:sz w:val="24"/>
            <w:szCs w:val="24"/>
          </w:rPr>
          <w:delText xml:space="preserve">o ganho concentra-se inteiramente nas entradas pelo critério de EBITDA e desaparece quando os modelos são reestimados sem elas</w:delText>
        </w:r>
      </w:del>
      <w:ins w:id="9098" w:author="Revisão" w:date="2026-09-28T12:00:00Z">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ins>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0,856 e 0,857,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as árvores impulsionadas alcançam 0,900, e a diferença para a cobertura de juros isolada, de 0,006 ponto, não é estatisticamente distinguível. Entre as explicações avaliadas, a alocação de pesos é a principal, e a forma funcional contribui pouco.</w:t>
      </w:r>
    </w:p>
    <w:p>
      <w:pPr>
        <w:keepNext/>
        <w:spacing w:after="120" w:before="240" w:line="360"/>
        <w:jc w:val="left"/>
      </w:pPr>
      <w:r>
        <w:rPr>
          <w:rFonts w:ascii="Times New Roman" w:cs="Times New Roman" w:eastAsia="Times New Roman" w:hAnsi="Times New Roman"/>
          <w:b w:val="false"/>
          <w:bCs w:val="false"/>
          <w:i/>
          <w:iCs/>
          <w:sz w:val="24"/>
          <w:szCs w:val="24"/>
        </w:rPr>
        <w:t xml:space="preserve">5.7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2,95%, a área sob a curva mede a qualidade da ordenação, mas não informa se os modelos produzem probabilidades utilizáveis. Cada escore é convertido em probabilidade por calibração logística estimada nas firmas de treino,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17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2271"/>
        <w:gridCol w:w="1300"/>
        <w:gridCol w:w="1300"/>
        <w:gridCol w:w="1400"/>
        <w:gridCol w:w="1400"/>
        <w:gridCol w:w="140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400"/>
            <w:shd w:fill="F2F2F2" w:val="clear"/>
            <w:tcMar>
              <w:top w:type="dxa" w:w="60"/>
              <w:left w:type="dxa" w:w="80"/>
              <w:bottom w:type="dxa" w:w="60"/>
              <w:right w:type="dxa" w:w="80"/>
            </w:tcMar>
          </w:tcPr>
          <w:p>
            <w:pPr>
              <w:spacing w:after="0" w:before="0" w:line="240"/>
              <w:jc w:val="center"/>
            </w:pPr>
            <w:del w:id="9069" w:author="Revisão" w:date="2026-09-28T12:00:00Z">
              <w:r>
                <w:rPr>
                  <w:rFonts w:ascii="Times New Roman" w:cs="Times New Roman" w:eastAsia="Times New Roman" w:hAnsi="Times New Roman"/>
                  <w:b/>
                  <w:bCs/>
                  <w:i w:val="false"/>
                  <w:iCs w:val="false"/>
                  <w:sz w:val="20"/>
                  <w:szCs w:val="20"/>
                </w:rPr>
                <w:delText xml:space="preserve">Firmas sinalizadas</w:delText>
              </w:r>
            </w:del>
            <w:ins w:id="9070" w:author="Revisão" w:date="2026-09-28T12:00:00Z">
              <w:r>
                <w:rPr>
                  <w:rFonts w:ascii="Times New Roman" w:cs="Times New Roman" w:eastAsia="Times New Roman" w:hAnsi="Times New Roman"/>
                  <w:b/>
                  <w:bCs/>
                  <w:i w:val="false"/>
                  <w:iCs w:val="false"/>
                  <w:sz w:val="20"/>
                  <w:szCs w:val="20"/>
                </w:rPr>
                <w:t xml:space="preserve">Firma-anos sinalizados</w:t>
              </w:r>
            </w:ins>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0,234</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0,0265</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1,016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17,2%</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0,215</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0,172</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1,005</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0,0289</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0,968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0,0285</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0,077</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0,0290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54,6%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del w:id="9067" w:author="Revisão" w:date="2026-09-28T12:00:00Z">
        <w:r>
          <w:rPr>
            <w:rFonts w:ascii="Times New Roman" w:cs="Times New Roman" w:eastAsia="Times New Roman" w:hAnsi="Times New Roman"/>
            <w:b w:val="false"/>
            <w:bCs w:val="false"/>
            <w:i w:val="false"/>
            <w:iCs w:val="false"/>
            <w:sz w:val="20"/>
            <w:szCs w:val="20"/>
          </w:rPr>
          <w:delText xml:space="preserve">Firmas sinalizadas e valor preditivo positivo referem-se</w:delText>
        </w:r>
      </w:del>
      <w:ins w:id="9068" w:author="Revisão" w:date="2026-09-28T12:00:00Z">
        <w:r>
          <w:rPr>
            <w:rFonts w:ascii="Times New Roman" w:cs="Times New Roman" w:eastAsia="Times New Roman" w:hAnsi="Times New Roman"/>
            <w:b w:val="false"/>
            <w:bCs w:val="false"/>
            <w:i w:val="false"/>
            <w:iCs w:val="false"/>
            <w:sz w:val="20"/>
            <w:szCs w:val="20"/>
          </w:rPr>
          <w:t xml:space="preserve">Firma-anos sinalizados e valor preditivo positivo referem-se</w:t>
        </w:r>
      </w:ins>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Inclinação de calibração com valor ideal unitário.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ordenação em precisão e revocação reproduz a da área sob a curva ROC, e </w:t>
      </w:r>
      <w:del w:id="9063" w:author="Revisão" w:date="2026-09-28T12:00:00Z">
        <w:r>
          <w:rPr>
            <w:rFonts w:ascii="Times New Roman" w:cs="Times New Roman" w:eastAsia="Times New Roman" w:hAnsi="Times New Roman"/>
            <w:b w:val="false"/>
            <w:bCs w:val="false"/>
            <w:i w:val="false"/>
            <w:iCs w:val="false"/>
            <w:sz w:val="24"/>
            <w:szCs w:val="24"/>
          </w:rPr>
          <w:delText xml:space="preserve">a calibração é adequada em todos os modelos, com inclinações entre 0,968 e 1,016, à exceção do modelo de Brito e Assaf Neto, com 0,738.</w:delText>
        </w:r>
      </w:del>
      <w:ins w:id="9064" w:author="Revisão" w:date="2026-09-28T12:00:00Z">
        <w:r>
          <w:rPr>
            <w:rFonts w:ascii="Times New Roman" w:cs="Times New Roman" w:eastAsia="Times New Roman" w:hAnsi="Times New Roman"/>
            <w:b w:val="false"/>
            <w:bCs w:val="false"/>
            <w:i w:val="false"/>
            <w:iCs w:val="false"/>
            <w:sz w:val="24"/>
            <w:szCs w:val="24"/>
          </w:rPr>
          <w:t xml:space="preserve">as inclinações de calibração ficam entre 0,968 e 1,016 e os interceptos próximos de zero, à exceção do modelo de Brito e Assaf Neto, com inclinação de 0,738. O escore de Brier não acompanha essa leitura: nos modelos por mínimos quadrados parciais, retorno sobre ativos e Brito e Assaf Neto ele fica ligeiramente acima do da previsão constante, efeito de poucas probabilidades extremas que a calibração logística produz sobre escores de caudas longas.</w:t>
        </w:r>
      </w:ins>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del w:id="9065" w:author="Revisão" w:date="2026-09-28T12:00:00Z">
        <w:r>
          <w:rPr>
            <w:rFonts w:ascii="Times New Roman" w:cs="Times New Roman" w:eastAsia="Times New Roman" w:hAnsi="Times New Roman"/>
            <w:b w:val="false"/>
            <w:bCs w:val="false"/>
            <w:i w:val="false"/>
            <w:iCs w:val="false"/>
            <w:sz w:val="24"/>
            <w:szCs w:val="24"/>
          </w:rPr>
          <w:delText xml:space="preserve">a regra baseada no escore sintético sinaliza 44,1% das firmas</w:delText>
        </w:r>
      </w:del>
      <w:ins w:id="9066" w:author="Revisão" w:date="2026-09-28T12:00:00Z">
        <w:r>
          <w:rPr>
            <w:rFonts w:ascii="Times New Roman" w:cs="Times New Roman" w:eastAsia="Times New Roman" w:hAnsi="Times New Roman"/>
            <w:b w:val="false"/>
            <w:bCs w:val="false"/>
            <w:i w:val="false"/>
            <w:iCs w:val="false"/>
            <w:sz w:val="24"/>
            <w:szCs w:val="24"/>
          </w:rPr>
          <w:t xml:space="preserve">a regra baseada no escore sintético sinaliza 44,1% dos firma-anos</w:t>
        </w:r>
      </w:ins>
      <w:r>
        <w:rPr>
          <w:rFonts w:ascii="Times New Roman" w:cs="Times New Roman" w:eastAsia="Times New Roman" w:hAnsi="Times New Roman"/>
          <w:b w:val="false"/>
          <w:bCs w:val="false"/>
          <w:i w:val="false"/>
          <w:iCs w:val="false"/>
          <w:sz w:val="24"/>
          <w:szCs w:val="24"/>
        </w:rPr>
        <w:t xml:space="preserve">, contra 18,7% da cobertura de juros, com valor preditivo positivo de 0,053 contra 0,124.</w:t>
      </w:r>
    </w:p>
    <w:p>
      <w:pPr>
        <w:keepNext/>
        <w:spacing w:after="120" w:before="240" w:line="360"/>
        <w:jc w:val="left"/>
      </w:pPr>
      <w:r>
        <w:rPr>
          <w:rFonts w:ascii="Times New Roman" w:cs="Times New Roman" w:eastAsia="Times New Roman" w:hAnsi="Times New Roman"/>
          <w:b w:val="false"/>
          <w:bCs w:val="false"/>
          <w:i/>
          <w:iCs/>
          <w:sz w:val="24"/>
          <w:szCs w:val="24"/>
        </w:rPr>
        <w:t xml:space="preserve">5.8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18 reporta o efeito de definições alternativas do evento, motivadas pela discussão da subseção 5.5.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18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4.980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0,955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19 reúne as sensibilidades que alteram a amostra sem alterar a definição do evento.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19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3171"/>
        <w:gridCol w:w="900"/>
        <w:gridCol w:w="1000"/>
        <w:gridCol w:w="1000"/>
        <w:gridCol w:w="1000"/>
        <w:gridCol w:w="1000"/>
        <w:gridCol w:w="1000"/>
      </w:tblGrid>
      <w:tr>
        <w:trPr>
          <w:tblHeader/>
        </w:trPr>
        <w:tc>
          <w:tcPr>
            <w:tcW w:type="dxa" w:w="31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del w:id="9049" w:author="Revisão" w:date="2026-09-28T12:00:00Z">
              <w:r>
                <w:rPr>
                  <w:rFonts w:ascii="Times New Roman" w:cs="Times New Roman" w:eastAsia="Times New Roman" w:hAnsi="Times New Roman"/>
                  <w:b w:val="false"/>
                  <w:bCs w:val="false"/>
                  <w:i w:val="false"/>
                  <w:iCs w:val="false"/>
                  <w:sz w:val="20"/>
                  <w:szCs w:val="20"/>
                </w:rPr>
                <w:delText xml:space="preserve">5.052</w:delText>
              </w:r>
            </w:del>
            <w:ins w:id="9050" w:author="Revisão" w:date="2026-09-28T12:00:00Z">
              <w:r>
                <w:rPr>
                  <w:rFonts w:ascii="Times New Roman" w:cs="Times New Roman" w:eastAsia="Times New Roman" w:hAnsi="Times New Roman"/>
                  <w:b w:val="false"/>
                  <w:bCs w:val="false"/>
                  <w:i w:val="false"/>
                  <w:iCs w:val="false"/>
                  <w:sz w:val="20"/>
                  <w:szCs w:val="20"/>
                </w:rPr>
                <w:t xml:space="preserve">5.055</w:t>
              </w:r>
            </w:ins>
          </w:p>
        </w:tc>
        <w:tc>
          <w:tcPr>
            <w:tcW w:type="dxa" w:w="1000"/>
            <w:tcMar>
              <w:top w:type="dxa" w:w="60"/>
              <w:left w:type="dxa" w:w="80"/>
              <w:bottom w:type="dxa" w:w="60"/>
              <w:right w:type="dxa" w:w="80"/>
            </w:tcMar>
          </w:tcPr>
          <w:p>
            <w:pPr>
              <w:spacing w:after="0" w:before="0" w:line="240"/>
              <w:jc w:val="center"/>
            </w:pPr>
            <w:del w:id="9051" w:author="Revisão" w:date="2026-09-28T12:00:00Z">
              <w:r>
                <w:rPr>
                  <w:rFonts w:ascii="Times New Roman" w:cs="Times New Roman" w:eastAsia="Times New Roman" w:hAnsi="Times New Roman"/>
                  <w:b w:val="false"/>
                  <w:bCs w:val="false"/>
                  <w:i w:val="false"/>
                  <w:iCs w:val="false"/>
                  <w:sz w:val="20"/>
                  <w:szCs w:val="20"/>
                </w:rPr>
                <w:delText xml:space="preserve">155</w:delText>
              </w:r>
            </w:del>
            <w:ins w:id="9052" w:author="Revisão" w:date="2026-09-28T12:00:00Z">
              <w:r>
                <w:rPr>
                  <w:rFonts w:ascii="Times New Roman" w:cs="Times New Roman" w:eastAsia="Times New Roman" w:hAnsi="Times New Roman"/>
                  <w:b w:val="false"/>
                  <w:bCs w:val="false"/>
                  <w:i w:val="false"/>
                  <w:iCs w:val="false"/>
                  <w:sz w:val="20"/>
                  <w:szCs w:val="20"/>
                </w:rPr>
                <w:t xml:space="preserve">158</w:t>
              </w:r>
            </w:ins>
          </w:p>
        </w:tc>
        <w:tc>
          <w:tcPr>
            <w:tcW w:type="dxa" w:w="1000"/>
            <w:tcMar>
              <w:top w:type="dxa" w:w="60"/>
              <w:left w:type="dxa" w:w="80"/>
              <w:bottom w:type="dxa" w:w="60"/>
              <w:right w:type="dxa" w:w="80"/>
            </w:tcMar>
          </w:tcPr>
          <w:p>
            <w:pPr>
              <w:spacing w:after="0" w:before="0" w:line="240"/>
              <w:jc w:val="center"/>
            </w:pPr>
            <w:del w:id="9053" w:author="Revisão" w:date="2026-09-28T12:00:00Z">
              <w:r>
                <w:rPr>
                  <w:rFonts w:ascii="Times New Roman" w:cs="Times New Roman" w:eastAsia="Times New Roman" w:hAnsi="Times New Roman"/>
                  <w:b w:val="false"/>
                  <w:bCs w:val="false"/>
                  <w:i w:val="false"/>
                  <w:iCs w:val="false"/>
                  <w:sz w:val="20"/>
                  <w:szCs w:val="20"/>
                </w:rPr>
                <w:delText xml:space="preserve">0,767</w:delText>
              </w:r>
            </w:del>
            <w:ins w:id="9054"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1000"/>
            <w:tcMar>
              <w:top w:type="dxa" w:w="60"/>
              <w:left w:type="dxa" w:w="80"/>
              <w:bottom w:type="dxa" w:w="60"/>
              <w:right w:type="dxa" w:w="80"/>
            </w:tcMar>
          </w:tcPr>
          <w:p>
            <w:pPr>
              <w:spacing w:after="0" w:before="0" w:line="240"/>
              <w:jc w:val="center"/>
            </w:pPr>
            <w:del w:id="9055" w:author="Revisão" w:date="2026-09-28T12:00:00Z">
              <w:r>
                <w:rPr>
                  <w:rFonts w:ascii="Times New Roman" w:cs="Times New Roman" w:eastAsia="Times New Roman" w:hAnsi="Times New Roman"/>
                  <w:b w:val="false"/>
                  <w:bCs w:val="false"/>
                  <w:i w:val="false"/>
                  <w:iCs w:val="false"/>
                  <w:sz w:val="20"/>
                  <w:szCs w:val="20"/>
                </w:rPr>
                <w:delText xml:space="preserve">0,878</w:delText>
              </w:r>
            </w:del>
            <w:ins w:id="9056" w:author="Revisão" w:date="2026-09-28T12:00:00Z">
              <w:r>
                <w:rPr>
                  <w:rFonts w:ascii="Times New Roman" w:cs="Times New Roman" w:eastAsia="Times New Roman" w:hAnsi="Times New Roman"/>
                  <w:b w:val="false"/>
                  <w:bCs w:val="false"/>
                  <w:i w:val="false"/>
                  <w:iCs w:val="false"/>
                  <w:sz w:val="20"/>
                  <w:szCs w:val="20"/>
                </w:rPr>
                <w:t xml:space="preserve">0,880</w:t>
              </w:r>
            </w:ins>
          </w:p>
        </w:tc>
        <w:tc>
          <w:tcPr>
            <w:tcW w:type="dxa" w:w="1000"/>
            <w:tcMar>
              <w:top w:type="dxa" w:w="60"/>
              <w:left w:type="dxa" w:w="80"/>
              <w:bottom w:type="dxa" w:w="60"/>
              <w:right w:type="dxa" w:w="80"/>
            </w:tcMar>
          </w:tcPr>
          <w:p>
            <w:pPr>
              <w:spacing w:after="0" w:before="0" w:line="240"/>
              <w:jc w:val="center"/>
            </w:pPr>
            <w:del w:id="9057" w:author="Revisão" w:date="2026-09-28T12:00:00Z">
              <w:r>
                <w:rPr>
                  <w:rFonts w:ascii="Times New Roman" w:cs="Times New Roman" w:eastAsia="Times New Roman" w:hAnsi="Times New Roman"/>
                  <w:b w:val="false"/>
                  <w:bCs w:val="false"/>
                  <w:i w:val="false"/>
                  <w:iCs w:val="false"/>
                  <w:sz w:val="20"/>
                  <w:szCs w:val="20"/>
                </w:rPr>
                <w:delText xml:space="preserve">0,895</w:delText>
              </w:r>
            </w:del>
            <w:ins w:id="9058" w:author="Revisão" w:date="2026-09-28T12:00:00Z">
              <w:r>
                <w:rPr>
                  <w:rFonts w:ascii="Times New Roman" w:cs="Times New Roman" w:eastAsia="Times New Roman" w:hAnsi="Times New Roman"/>
                  <w:b w:val="false"/>
                  <w:bCs w:val="false"/>
                  <w:i w:val="false"/>
                  <w:iCs w:val="false"/>
                  <w:sz w:val="20"/>
                  <w:szCs w:val="20"/>
                </w:rPr>
                <w:t xml:space="preserve">0,896</w:t>
              </w:r>
            </w:ins>
          </w:p>
        </w:tc>
        <w:tc>
          <w:tcPr>
            <w:tcW w:type="dxa" w:w="1000"/>
            <w:tcMar>
              <w:top w:type="dxa" w:w="60"/>
              <w:left w:type="dxa" w:w="80"/>
              <w:bottom w:type="dxa" w:w="60"/>
              <w:right w:type="dxa" w:w="80"/>
            </w:tcMar>
          </w:tcPr>
          <w:p>
            <w:pPr>
              <w:spacing w:after="0" w:before="0" w:line="240"/>
              <w:jc w:val="center"/>
            </w:pPr>
            <w:del w:id="9059" w:author="Revisão" w:date="2026-09-28T12:00:00Z">
              <w:r>
                <w:rPr>
                  <w:rFonts w:ascii="Times New Roman" w:cs="Times New Roman" w:eastAsia="Times New Roman" w:hAnsi="Times New Roman"/>
                  <w:b w:val="false"/>
                  <w:bCs w:val="false"/>
                  <w:i w:val="false"/>
                  <w:iCs w:val="false"/>
                  <w:sz w:val="20"/>
                  <w:szCs w:val="20"/>
                </w:rPr>
                <w:delText xml:space="preserve">0,876</w:delText>
              </w:r>
            </w:del>
            <w:ins w:id="9060" w:author="Revisão" w:date="2026-09-28T12:00:00Z">
              <w:r>
                <w:rPr>
                  <w:rFonts w:ascii="Times New Roman" w:cs="Times New Roman" w:eastAsia="Times New Roman" w:hAnsi="Times New Roman"/>
                  <w:b w:val="false"/>
                  <w:bCs w:val="false"/>
                  <w:i w:val="false"/>
                  <w:iCs w:val="false"/>
                  <w:sz w:val="20"/>
                  <w:szCs w:val="20"/>
                </w:rPr>
                <w:t xml:space="preserve">0,877</w:t>
              </w:r>
            </w:ins>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3.6.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del w:id="9047" w:author="Revisão" w:date="2026-09-28T12:00:00Z">
        <w:r>
          <w:rPr>
            <w:rFonts w:ascii="Times New Roman" w:cs="Times New Roman" w:eastAsia="Times New Roman" w:hAnsi="Times New Roman"/>
            <w:b w:val="false"/>
            <w:bCs w:val="false"/>
            <w:i w:val="false"/>
            <w:iCs w:val="false"/>
            <w:sz w:val="24"/>
            <w:szCs w:val="24"/>
          </w:rPr>
          <w:delText xml:space="preserve">das 143 companhias que deixam o painel antes do fim do período, seja por cancelamento de registro, seja por interrupção da entrega das demonstrações, 32,2% estavam em vulnerabilidade na última observação, contra 16,0% entre as que permanecem, e 46 saídas apresentam sinal de dificuldade financeira. Dessas, 6 ocorrem a partir do estado saudável</w:delText>
        </w:r>
      </w:del>
      <w:ins w:id="9048" w:author="Revisão" w:date="2026-09-28T12:00:00Z">
        <w:r>
          <w:rPr>
            <w:rFonts w:ascii="Times New Roman" w:cs="Times New Roman" w:eastAsia="Times New Roman" w:hAnsi="Times New Roman"/>
            <w:b w:val="false"/>
            <w:bCs w:val="false"/>
            <w:i w:val="false"/>
            <w:iCs w:val="false"/>
            <w:sz w:val="24"/>
            <w:szCs w:val="24"/>
          </w:rPr>
          <w:t xml:space="preserve">das 201 companhias cuja última observação antecede 2025, 31,8%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w:t>
        </w:r>
      </w:ins>
      <w:r>
        <w:rPr>
          <w:rFonts w:ascii="Times New Roman" w:cs="Times New Roman" w:eastAsia="Times New Roman" w:hAnsi="Times New Roman"/>
          <w:b w:val="false"/>
          <w:bCs w:val="false"/>
          <w:i w:val="false"/>
          <w:iCs w:val="false"/>
          <w:sz w:val="24"/>
          <w:szCs w:val="24"/>
        </w:rPr>
        <w:t xml:space="preserve">, sem desfecho observável, e a sensibilidade as trata como evento. A quinta restringe a amostra às firmas com registro ativo ao fim do período.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0,764 para 0,752; </w:t>
      </w:r>
      <w:del w:id="9037" w:author="Revisão" w:date="2026-09-28T12:00:00Z">
        <w:r>
          <w:rPr>
            <w:rFonts w:ascii="Times New Roman" w:cs="Times New Roman" w:eastAsia="Times New Roman" w:hAnsi="Times New Roman"/>
            <w:b w:val="false"/>
            <w:bCs w:val="false"/>
            <w:i w:val="false"/>
            <w:iCs w:val="false"/>
            <w:sz w:val="24"/>
            <w:szCs w:val="24"/>
          </w:rPr>
          <w:delText xml:space="preserve">somar o segundo componente ao primeiro a reduz para 0,717</w:delText>
        </w:r>
      </w:del>
      <w:ins w:id="9038" w:author="Revisão" w:date="2026-09-28T12:00:00Z">
        <w:r>
          <w:rPr>
            <w:rFonts w:ascii="Times New Roman" w:cs="Times New Roman" w:eastAsia="Times New Roman" w:hAnsi="Times New Roman"/>
            <w:b w:val="false"/>
            <w:bCs w:val="false"/>
            <w:i w:val="false"/>
            <w:iCs w:val="false"/>
            <w:sz w:val="24"/>
            <w:szCs w:val="24"/>
          </w:rPr>
          <w:t xml:space="preserve">somar ou subtrair o segundo componente, cujo sinal é arbitrário, a reduz para 0,706 ou 0,665</w:t>
        </w:r>
      </w:ins>
      <w:r>
        <w:rPr>
          <w:rFonts w:ascii="Times New Roman" w:cs="Times New Roman" w:eastAsia="Times New Roman" w:hAnsi="Times New Roman"/>
          <w:b w:val="false"/>
          <w:bCs w:val="false"/>
          <w:i w:val="false"/>
          <w:iCs w:val="false"/>
          <w:sz w:val="24"/>
          <w:szCs w:val="24"/>
        </w:rPr>
        <w:t xml:space="preserve">; e reconstruir o escore sobre desvios da média histórica de cada firma, calculada apenas com exercícios anteriores, a leva a 0,689. Winsorizando os oito indicadores nos percentis 1 e 99, a variância explicada pelo primeiro componente sobe de 26,92% para 31,55% e o escore alcança 0,799 fora da amostra,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20.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20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5.046 observações e 149 entradas. Todas as especificações são estimadas por probit dentro de cada partição, o que explica pequenas diferenças em relação à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2,25% a partir de 2020. A Figura 4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Vulnerabilidade sob as duas codificações</w:t>
      </w:r>
    </w:p>
    <w:p>
      <w:pPr>
        <w:spacing w:after="60" w:before="120"/>
        <w:jc w:val="center"/>
      </w:pPr>
      <w:r>
        <w:drawing>
          <wp:inline distT="0" distB="0" distL="0" distR="0">
            <wp:extent cx="5486400" cy="32248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24869"/>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5.9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del w:id="9081" w:author="Revisão" w:date="2026-09-28T12:00:00Z">
        <w:r>
          <w:rPr>
            <w:rFonts w:ascii="Times New Roman" w:cs="Times New Roman" w:eastAsia="Times New Roman" w:hAnsi="Times New Roman"/>
            <w:b w:val="false"/>
            <w:bCs w:val="false"/>
            <w:i w:val="false"/>
            <w:iCs w:val="false"/>
            <w:sz w:val="24"/>
            <w:szCs w:val="24"/>
          </w:rPr>
          <w:delText xml:space="preserve">O tratamento conservador da subseção 5.8 mostra que a limitação não afeta as conclusões.</w:delText>
        </w:r>
      </w:del>
      <w:ins w:id="9082" w:author="Revisão" w:date="2026-09-28T12:00:00Z">
        <w:r>
          <w:rPr>
            <w:rFonts w:ascii="Times New Roman" w:cs="Times New Roman" w:eastAsia="Times New Roman" w:hAnsi="Times New Roman"/>
            <w:b w:val="false"/>
            <w:bCs w:val="false"/>
            <w:i w:val="false"/>
            <w:iCs w:val="false"/>
            <w:sz w:val="24"/>
            <w:szCs w:val="24"/>
          </w:rPr>
          <w:t xml:space="preserve">O tratamento da subseção 5.8 cobre a antecipação por divulgação anterior às demonstrações de t, mas não o eventual atraso da data registrada em relação ao ajuizamento, cuja sensibilidade não foi estimada.</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del w:id="9061" w:author="Revisão" w:date="2026-09-28T12:00:00Z">
        <w:r>
          <w:rPr>
            <w:rFonts w:ascii="Times New Roman" w:cs="Times New Roman" w:eastAsia="Times New Roman" w:hAnsi="Times New Roman"/>
            <w:b w:val="false"/>
            <w:bCs w:val="false"/>
            <w:i w:val="false"/>
            <w:iCs w:val="false"/>
            <w:sz w:val="24"/>
            <w:szCs w:val="24"/>
          </w:rPr>
          <w:delText xml:space="preserve">O motivo da saída foi recuperado do cadastro de companhias abertas, mas a classificação de saídas associadas a dificuldade financeira permanece aproximada.</w:delText>
        </w:r>
      </w:del>
      <w:ins w:id="9062" w:author="Revisão" w:date="2026-09-28T12:00:00Z">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construída a partir da recuperação judicial registrada e do estado de vulnerabilidade nas últimas observações; o motivo formal do cancelamento, disponível no cadastro de companhias abertas, não foi incorporado à análise.</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3.3.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6.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0,764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com 0,649 contra 0,973 da cobertura de juros. Nas entradas por patrimônio líquido negativo e por recuperação judicial, nenhuma diferença contra as razões isoladas é estatisticamente distinguível, e o escore supera o escore supervisionado nas primeiras. No caso da recuperação judicial, com onze entradas puras, essa ausência de diferença reflete também a baixa precisão da comparação, e não sustenta afirmação forte em nenhuma direção. </w:t>
      </w:r>
      <w:del w:id="9099" w:author="Revisão" w:date="2026-09-28T12:00:00Z">
        <w:r>
          <w:rPr>
            <w:rFonts w:ascii="Times New Roman" w:cs="Times New Roman" w:eastAsia="Times New Roman" w:hAnsi="Times New Roman"/>
            <w:b w:val="false"/>
            <w:bCs w:val="false"/>
            <w:i w:val="false"/>
            <w:iCs w:val="false"/>
            <w:sz w:val="24"/>
            <w:szCs w:val="24"/>
          </w:rPr>
          <w:delText xml:space="preserve">Retiradas as entradas por prejuízo operacional, a vantagem da agregação supervisionada desaparece por completo.</w:delText>
        </w:r>
      </w:del>
      <w:ins w:id="9100" w:author="Revisão" w:date="2026-09-28T12:00:00Z">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ins>
    </w:p>
    <w:p>
      <w:pPr>
        <w:spacing w:after="0" w:before="0" w:line="360"/>
        <w:ind w:firstLine="708"/>
        <w:jc w:val="both"/>
      </w:pPr>
      <w:del w:id="9101" w:author="Revisão" w:date="2026-09-28T12:00:00Z">
        <w:r>
          <w:rPr>
            <w:rFonts w:ascii="Times New Roman" w:cs="Times New Roman" w:eastAsia="Times New Roman" w:hAnsi="Times New Roman"/>
            <w:b w:val="false"/>
            <w:bCs w:val="false"/>
            <w:i w:val="false"/>
            <w:iCs w:val="false"/>
            <w:sz w:val="24"/>
            <w:szCs w:val="24"/>
          </w:rPr>
          <w:delText xml:space="preserve">A explicação é de composição e está nos dados.</w:delText>
        </w:r>
      </w:del>
      <w:ins w:id="9102"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1,430: seu balanço é, nas dimensões de estrutura, melhor que o da firma mediana. Um escore cujas maiores cargas são capital de giro, alavancagem e liquidez as classifica como robustas, a ponto de a ordenação se inverter no horizonte de dois anos. </w:t>
      </w:r>
      <w:del w:id="9103" w:author="Revisão" w:date="2026-09-28T12:00:00Z">
        <w:r>
          <w:rPr>
            <w:rFonts w:ascii="Times New Roman" w:cs="Times New Roman" w:eastAsia="Times New Roman" w:hAnsi="Times New Roman"/>
            <w:b w:val="false"/>
            <w:bCs w:val="false"/>
            <w:i w:val="false"/>
            <w:iCs w:val="false"/>
            <w:sz w:val="24"/>
            <w:szCs w:val="24"/>
          </w:rPr>
          <w:delText xml:space="preserve">A limitação não é da agregação em geral, e sim da composição deste escore, que mede deterioração patrimonial e é cego à rota que começa no resultado operacional de firmas pouco endividadas.</w:delText>
        </w:r>
      </w:del>
      <w:ins w:id="9104"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r>
        <w:rPr>
          <w:rFonts w:ascii="Times New Roman" w:cs="Times New Roman" w:eastAsia="Times New Roman" w:hAnsi="Times New Roman"/>
          <w:b w:val="false"/>
          <w:bCs w:val="false"/>
          <w:i w:val="false"/>
          <w:iCs w:val="false"/>
          <w:sz w:val="24"/>
          <w:szCs w:val="24"/>
        </w:rPr>
        <w:t xml:space="preserve"> A multidimensionalidade documentada na avaliação de H1 e o desempenho agregado inferior documentado na de H2 </w:t>
      </w:r>
      <w:del w:id="9111" w:author="Revisão" w:date="2026-09-28T12:00:00Z">
        <w:r>
          <w:rPr>
            <w:rFonts w:ascii="Times New Roman" w:cs="Times New Roman" w:eastAsia="Times New Roman" w:hAnsi="Times New Roman"/>
            <w:b w:val="false"/>
            <w:bCs w:val="false"/>
            <w:i w:val="false"/>
            <w:iCs w:val="false"/>
            <w:sz w:val="24"/>
            <w:szCs w:val="24"/>
          </w:rPr>
          <w:delText xml:space="preserve">são, assim, o mesmo fato observado de dois ângulos</w:delText>
        </w:r>
      </w:del>
      <w:ins w:id="9112" w:author="Revisão" w:date="2026-09-28T12:00:00Z">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del w:id="9109" w:author="Revisão" w:date="2026-09-28T12:00:00Z">
        <w:r>
          <w:rPr>
            <w:rFonts w:ascii="Times New Roman" w:cs="Times New Roman" w:eastAsia="Times New Roman" w:hAnsi="Times New Roman"/>
            <w:b w:val="false"/>
            <w:bCs w:val="false"/>
            <w:i w:val="false"/>
            <w:iCs w:val="false"/>
            <w:sz w:val="24"/>
            <w:szCs w:val="24"/>
          </w:rPr>
          <w:delText xml:space="preserve">revela se o indicador é uniformemente inferior ou apenas cego a uma das rotas</w:delText>
        </w:r>
      </w:del>
      <w:ins w:id="9110" w:author="Revisão" w:date="2026-09-28T12:00:00Z">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ins>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6.1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6.2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o que a qualifica como extensão viável, e não apenas desejável.</w:t>
      </w:r>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del w:id="9131" w:author="Revisão" w:date="2026-09-28T12:00:00Z">
        <w:r>
          <w:rPr>
            <w:rFonts w:ascii="Times New Roman" w:cs="Times New Roman" w:eastAsia="Times New Roman" w:hAnsi="Times New Roman"/>
            <w:b w:val="false"/>
            <w:bCs w:val="false"/>
            <w:i w:val="false"/>
            <w:iCs w:val="false"/>
            <w:sz w:val="24"/>
            <w:szCs w:val="24"/>
          </w:rPr>
          <w:delText xml:space="preserve">Diário Oficial da União, Brasília, DF, 20 dez. 2018.</w:delText>
        </w:r>
      </w:del>
      <w:ins w:id="9132" w:author="Revisão" w:date="2026-09-28T12:00:00Z">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ins>
    </w:p>
    <w:p>
      <w:pPr>
        <w:spacing w:after="180" w:before="0" w:line="240"/>
        <w:jc w:val="left"/>
        <w:rPr>
          <w:ins w:id="9133" w:author="Revisão" w:date="2026-09-28T12:00:00Z"/>
        </w:rPr>
      </w:pPr>
      <w:ins w:id="9134" w:author="Revisão" w:date="2026-09-28T12:00:00Z">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ins w:id="9135" w:author="Revisão" w:date="2026-09-28T12:00:00Z"/>
        </w:rPr>
      </w:pPr>
      <w:ins w:id="9136" w:author="Revisão" w:date="2026-09-28T12:00:00Z">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ins w:id="9137" w:author="Revisão" w:date="2026-09-28T12:00:00Z"/>
        </w:rPr>
      </w:pPr>
      <w:ins w:id="9138" w:author="Revisão" w:date="2026-09-28T12:00:00Z">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ins>
    </w:p>
    <w:p>
      <w:pPr>
        <w:spacing w:after="180" w:before="0" w:line="240"/>
        <w:jc w:val="left"/>
        <w:rPr>
          <w:ins w:id="9139" w:author="Revisão" w:date="2026-09-28T12:00:00Z"/>
        </w:rPr>
      </w:pPr>
      <w:ins w:id="9140" w:author="Revisão" w:date="2026-09-28T12:00:00Z">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ins>
    </w:p>
    <w:p>
      <w:pPr>
        <w:spacing w:after="180" w:before="0" w:line="240"/>
        <w:jc w:val="left"/>
        <w:rPr>
          <w:ins w:id="9141" w:author="Revisão" w:date="2026-09-28T12:00:00Z"/>
        </w:rPr>
      </w:pPr>
      <w:ins w:id="9142" w:author="Revisão" w:date="2026-09-28T12:00:00Z">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ins w:id="9143" w:author="Revisão" w:date="2026-09-28T12:00:00Z"/>
        </w:rPr>
      </w:pPr>
      <w:ins w:id="9144" w:author="Revisão" w:date="2026-09-28T12:00:00Z">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ins w:id="9145" w:author="Revisão" w:date="2026-09-28T12:00:00Z"/>
        </w:rPr>
      </w:pPr>
      <w:ins w:id="9146" w:author="Revisão" w:date="2026-09-28T12:00:00Z">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rPr>
          <w:ins w:id="9147" w:author="Revisão" w:date="2026-09-28T12:00:00Z"/>
        </w:rPr>
      </w:pPr>
      <w:ins w:id="9148" w:author="Revisão" w:date="2026-09-28T12:00:00Z">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ins>
    </w:p>
    <w:p>
      <w:pPr>
        <w:spacing w:after="180" w:before="0" w:line="240"/>
        <w:jc w:val="left"/>
        <w:rPr>
          <w:ins w:id="9149" w:author="Revisão" w:date="2026-09-28T12:00:00Z"/>
        </w:rPr>
      </w:pPr>
      <w:ins w:id="9150" w:author="Revisão" w:date="2026-09-28T12:00:00Z">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ins w:id="9151" w:author="Revisão" w:date="2026-09-28T12:00:00Z"/>
        </w:rPr>
      </w:pPr>
      <w:ins w:id="9152" w:author="Revisão" w:date="2026-09-28T12:00:00Z">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ins>
    </w:p>
    <w:p>
      <w:pPr>
        <w:spacing w:after="180" w:before="0" w:line="240"/>
        <w:jc w:val="left"/>
        <w:rPr>
          <w:ins w:id="9153" w:author="Revisão" w:date="2026-09-28T12:00:00Z"/>
        </w:rPr>
      </w:pPr>
      <w:ins w:id="9154" w:author="Revisão" w:date="2026-09-28T12:00:00Z">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