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w:t>
      </w:r>
      <w:r>
        <w:rPr>
          <w:rFonts w:ascii="Times New Roman" w:cs="Times New Roman" w:eastAsia="Times New Roman" w:hAnsi="Times New Roman"/>
          <w:b w:val="false"/>
          <w:bCs w:val="false"/>
          <w:i w:val="false"/>
          <w:iCs w:val="false"/>
          <w:sz w:val="24"/>
          <w:szCs w:val="24"/>
        </w:rPr>
        <w:t xml:space="preserve">Uma análise diagnóstica posterior, de caráter exploratório, decompõe o evento pelo critério que o define</w:t>
      </w:r>
      <w:r>
        <w:rPr>
          <w:rFonts w:ascii="Times New Roman" w:cs="Times New Roman" w:eastAsia="Times New Roman" w:hAnsi="Times New Roman"/>
          <w:b w:val="false"/>
          <w:bCs w:val="false"/>
          <w:i w:val="false"/>
          <w:iCs w:val="false"/>
          <w:sz w:val="24"/>
          <w:szCs w:val="24"/>
        </w:rPr>
        <w:t xml:space="preserve"> e mostra que o resultado agregado é produzido por uma das rotas de deterioração. </w:t>
      </w:r>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spacing w:after="240" w:before="180" w:line="360"/>
        <w:jc w:val="both"/>
        <w:rPr/>
      </w:pPr>
      <w:r>
        <w:rPr>
          <w:rFonts w:ascii="Times New Roman" w:cs="Times New Roman" w:eastAsia="Times New Roman" w:hAnsi="Times New Roman"/>
          <w:b/>
          <w:bCs/>
          <w:i w:val="false"/>
          <w:iCs w:val="false"/>
          <w:sz w:val="24"/>
          <w:szCs w:val="24"/>
        </w:rPr>
        <w:t xml:space="preserve">Classificação JEL: </w:t>
      </w:r>
      <w:r>
        <w:rPr>
          <w:rFonts w:ascii="Times New Roman" w:cs="Times New Roman" w:eastAsia="Times New Roman" w:hAnsi="Times New Roman"/>
          <w:b w:val="false"/>
          <w:bCs w:val="false"/>
          <w:i w:val="false"/>
          <w:iCs w:val="false"/>
          <w:sz w:val="24"/>
          <w:szCs w:val="24"/>
        </w:rPr>
        <w:t xml:space="preserve">G33; G32; C38; C53; E12.</w:t>
      </w:r>
    </w:p>
    <w:p>
      <w:pPr>
        <w:spacing w:after="120" w:before="0" w:line="360"/>
        <w:jc w:val="left"/>
        <w:rPr/>
      </w:pPr>
      <w:r>
        <w:rPr>
          <w:rFonts w:ascii="Times New Roman" w:cs="Times New Roman" w:eastAsia="Times New Roman" w:hAnsi="Times New Roman"/>
          <w:b/>
          <w:bCs/>
          <w:i w:val="false"/>
          <w:iCs w:val="false"/>
          <w:sz w:val="24"/>
          <w:szCs w:val="24"/>
        </w:rPr>
        <w:t xml:space="preserve">Abstract</w:t>
      </w:r>
    </w:p>
    <w:p>
      <w:pPr>
        <w:spacing w:after="0" w:before="0" w:line="360"/>
        <w:jc w:val="both"/>
        <w:rPr/>
      </w:pPr>
      <w:r>
        <w:rPr>
          <w:rFonts w:ascii="Times New Roman" w:cs="Times New Roman" w:eastAsia="Times New Roman" w:hAnsi="Times New Roman"/>
          <w:b w:val="false"/>
          <w:bCs w:val="false"/>
          <w:i w:val="false"/>
          <w:iCs w:val="false"/>
          <w:sz w:val="24"/>
          <w:szCs w:val="24"/>
        </w:rPr>
        <w:t xml:space="preserve">This paper examines whether aggregating accounting indicators into a synthetic financial fragility score is justified relative to its best individual components, using a panel of 7,419 firm-year observations from 730 Brazilian non-financial listed companies between 2010 and 2025. Over the pooled set of events, aggregation is not justified: the area under the ROC curve of the score is 0.764, against 0.894 for interest coverage and 0.874 for return on assets, a conclusion that holds under firm-clustered cross-validation and under temporal evaluation. A subsequent, exploratory diagnostic analysis decomposes the event by the criterion that defines it and shows that the aggregate result is produced by one of the deterioration routes. For entries through persistent operating losses, the score trails interest coverage by 0.32 points at one year, a contrast in which the mechanical overlap between the event and the predictors weighs, and by 0.15 points at two years; for entries through negative equity and judicial reorganization, the differences are not statistically distinguishable. The data are consistent with a composition explanation: firms heading toward operating losses show, at the time of prediction, lower leverage and higher liquidity than average, and a score dominated by balance-sheet structure classifies them as robust. The conclusion about aggregation therefore depends on the deterioration route one seeks to anticipate.</w:t>
      </w:r>
    </w:p>
    <w:p>
      <w:pPr>
        <w:spacing w:after="240" w:before="180" w:line="360"/>
        <w:jc w:val="both"/>
        <w:rPr/>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 xml:space="preserve">Financial fragility; Synthetic indicator; Principal components; Financial vulnerability; Listed companies.</w:t>
      </w:r>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e a mesma ordenação aparece sob avaliação temporal. O escore, contudo, reúne as três propriedades que se esperariam de um bom indicador sintético: coerência teórica, com todas as cargas do primeiro componente no sentido esperado; estrutura interpretável, discriminando a posição financeira minskyana </w:t>
      </w:r>
      <w:r>
        <w:rPr>
          <w:rFonts w:ascii="Times New Roman" w:cs="Times New Roman" w:eastAsia="Times New Roman" w:hAnsi="Times New Roman"/>
          <w:b w:val="false"/>
          <w:bCs w:val="false"/>
          <w:i w:val="false"/>
          <w:iCs w:val="false"/>
          <w:sz w:val="24"/>
          <w:szCs w:val="24"/>
        </w:rPr>
        <w:t xml:space="preserve">com área sob a curva de 0,782, ou 0,769 quando excluído</w:t>
      </w:r>
      <w:r>
        <w:rPr>
          <w:rFonts w:ascii="Times New Roman" w:cs="Times New Roman" w:eastAsia="Times New Roman" w:hAnsi="Times New Roman"/>
          <w:b w:val="false"/>
          <w:bCs w:val="false"/>
          <w:i w:val="false"/>
          <w:iCs w:val="false"/>
          <w:sz w:val="24"/>
          <w:szCs w:val="24"/>
        </w:rPr>
        <w:t xml:space="preserve"> o indicador que define essa posição; e conteúdo preditivo, </w:t>
      </w:r>
      <w:r>
        <w:rPr>
          <w:rFonts w:ascii="Times New Roman" w:cs="Times New Roman" w:eastAsia="Times New Roman" w:hAnsi="Times New Roman"/>
          <w:b w:val="false"/>
          <w:bCs w:val="false"/>
          <w:i w:val="false"/>
          <w:iCs w:val="false"/>
          <w:sz w:val="24"/>
          <w:szCs w:val="24"/>
        </w:rPr>
        <w:t xml:space="preserve">antecipando a entrada com p &lt; 0,001.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r>
        <w:rPr>
          <w:rFonts w:ascii="Times New Roman" w:cs="Times New Roman" w:eastAsia="Times New Roman" w:hAnsi="Times New Roman"/>
          <w:b w:val="false"/>
          <w:bCs w:val="false"/>
          <w:i w:val="false"/>
          <w:iCs w:val="false"/>
          <w:sz w:val="24"/>
          <w:szCs w:val="24"/>
        </w:rPr>
        <w:t xml:space="preserve"> Mulligan (2013) </w:t>
      </w:r>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r>
        <w:rPr>
          <w:rFonts w:ascii="Times New Roman" w:cs="Times New Roman" w:eastAsia="Times New Roman" w:hAnsi="Times New Roman"/>
          <w:b w:val="false"/>
          <w:bCs w:val="false"/>
          <w:i w:val="false"/>
          <w:iCs w:val="false"/>
          <w:sz w:val="24"/>
          <w:szCs w:val="24"/>
        </w:rPr>
        <w:t xml:space="preserve"> Mantoan, Centeno e Feijó (2021) </w:t>
      </w:r>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w:t>
      </w:r>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e Mai et al. (2019) incorporam informação textual das divulgações corporativas. Jones, Johnstone e Wilson (2017), comparando dezesseis classificadores, concluem que modelos simples como o logit têm desempenho razoável, mas que métodos de conjunto como boosting e florestas aleatórias os superam; Tian, Yu e Guo (2015) mostram, por seleção de variáveis, que razões construídas apenas com dados contábeis carregam informação incremental sobre o risco de falência; e Veganzones e Séverin (2018) documentam que o forte desbalanceamento entre firmas em dificuldade e saudáveis degrada o desempenho dos classificadores, ponto que motiva as métricas sensíveis à prevalência da subseção 5.7.</w:t>
      </w:r>
      <w:r>
        <w:rPr>
          <w:rFonts w:ascii="Times New Roman" w:cs="Times New Roman" w:eastAsia="Times New Roman" w:hAnsi="Times New Roman"/>
          <w:b w:val="false"/>
          <w:bCs w:val="false"/>
          <w:i w:val="false"/>
          <w:iCs w:val="false"/>
          <w:sz w:val="24"/>
          <w:szCs w:val="24"/>
        </w:rPr>
        <w:t xml:space="preserve">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w:t>
      </w:r>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w:t>
      </w:r>
      <w:r>
        <w:rPr>
          <w:rFonts w:ascii="Times New Roman" w:cs="Times New Roman" w:eastAsia="Times New Roman" w:hAnsi="Times New Roman"/>
          <w:b w:val="false"/>
          <w:bCs w:val="false"/>
          <w:i w:val="false"/>
          <w:iCs w:val="false"/>
          <w:sz w:val="24"/>
          <w:szCs w:val="24"/>
        </w:rPr>
        <w:t xml:space="preserve">quanto ao viés das amostras não aleatórias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Trata-se explicitamente a saída do painel, que constitui censura informativa e risco competitivo, e não apenas viés de sobrevivência: as firmas que deixam o painel são mantidas até a última observação, e as saídas por dificuldade financeira são testadas como evento.</w:t>
      </w:r>
      <w:r>
        <w:rPr>
          <w:rFonts w:ascii="Times New Roman" w:cs="Times New Roman" w:eastAsia="Times New Roman" w:hAnsi="Times New Roman"/>
          <w:b w:val="false"/>
          <w:bCs w:val="false"/>
          <w:i w:val="false"/>
          <w:iCs w:val="false"/>
          <w:sz w:val="24"/>
          <w:szCs w:val="24"/>
        </w:rPr>
        <w:t xml:space="preserve"> E testa-se a superioridade contra benchmarks pré-especificados, </w:t>
      </w:r>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w:t>
      </w:r>
      <w:r>
        <w:rPr>
          <w:rFonts w:ascii="Times New Roman" w:cs="Times New Roman" w:eastAsia="Times New Roman" w:hAnsi="Times New Roman"/>
          <w:b w:val="false"/>
          <w:bCs w:val="false"/>
          <w:i w:val="false"/>
          <w:iCs w:val="false"/>
          <w:sz w:val="24"/>
          <w:szCs w:val="24"/>
        </w:rPr>
        <w:t xml:space="preserve">mantém constantes os demais elementos e concentra a comparação no método de agregação.</w:t>
      </w:r>
      <w:r>
        <w:rPr>
          <w:rFonts w:ascii="Times New Roman" w:cs="Times New Roman" w:eastAsia="Times New Roman" w:hAnsi="Times New Roman"/>
          <w:b w:val="false"/>
          <w:bCs w:val="false"/>
          <w:i w:val="false"/>
          <w:iCs w:val="false"/>
          <w:sz w:val="24"/>
          <w:szCs w:val="24"/>
        </w:rPr>
        <w:t xml:space="preserve"> É esse o desenho adotado a partir da próxima seção.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w:t>
      </w:r>
      <w:r>
        <w:rPr>
          <w:rFonts w:ascii="Times New Roman" w:cs="Times New Roman" w:eastAsia="Times New Roman" w:hAnsi="Times New Roman"/>
          <w:b w:val="false"/>
          <w:bCs w:val="false"/>
          <w:i w:val="false"/>
          <w:iCs w:val="false"/>
          <w:sz w:val="24"/>
          <w:szCs w:val="24"/>
        </w:rPr>
        <w:t xml:space="preserve">A conversão de uma medida na outra é tratada na subseção 4.3, onde se apresenta a decomposição dos eventos e a construção da amostra de risco. No restante do texto, o critério (b) é também designado como prejuízo operacional persistente, e as entradas que o satisfazem, como entradas por prejuízo operacional; a denominação refere-se ao resultado antes de juros, impostos, depreciação e amortização, e não ao lucro operacional contábil.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r>
        <w:rPr>
          <w:rFonts w:ascii="Times New Roman" w:cs="Times New Roman" w:eastAsia="Times New Roman" w:hAnsi="Times New Roman"/>
          <w:b w:val="false"/>
          <w:bCs w:val="false"/>
          <w:i w:val="false"/>
          <w:iCs w:val="false"/>
          <w:sz w:val="24"/>
          <w:szCs w:val="24"/>
        </w:rPr>
        <w:t xml:space="preserve">(HANLEY; McNEIL, 1982)</w:t>
      </w:r>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r>
        <w:rPr>
          <w:rFonts w:ascii="Times New Roman" w:cs="Times New Roman" w:eastAsia="Times New Roman" w:hAnsi="Times New Roman"/>
          <w:b w:val="false"/>
          <w:bCs w:val="false"/>
          <w:i w:val="false"/>
          <w:iCs w:val="false"/>
          <w:sz w:val="24"/>
          <w:szCs w:val="24"/>
        </w:rPr>
        <w:t xml:space="preserve">de aproximadamente 3%</w:t>
      </w:r>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r>
        <w:rPr>
          <w:rFonts w:ascii="Times New Roman" w:cs="Times New Roman" w:eastAsia="Times New Roman" w:hAnsi="Times New Roman"/>
          <w:b w:val="false"/>
          <w:bCs w:val="false"/>
          <w:i w:val="false"/>
          <w:iCs w:val="false"/>
          <w:sz w:val="24"/>
          <w:szCs w:val="24"/>
        </w:rPr>
        <w:t xml:space="preserve">A correção de Bonferroni (DUNN, 1961) é aplicada</w:t>
      </w:r>
      <w:r>
        <w:rPr>
          <w:rFonts w:ascii="Times New Roman" w:cs="Times New Roman" w:eastAsia="Times New Roman" w:hAnsi="Times New Roman"/>
          <w:b w:val="false"/>
          <w:bCs w:val="false"/>
          <w:i w:val="false"/>
          <w:iCs w:val="false"/>
          <w:sz w:val="24"/>
          <w:szCs w:val="24"/>
        </w:rPr>
        <w:t xml:space="preserve"> aos valores obtidos no procedimento agrupado, </w:t>
      </w:r>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r>
        <w:rPr>
          <w:rFonts w:ascii="Times New Roman" w:cs="Times New Roman" w:eastAsia="Times New Roman" w:hAnsi="Times New Roman"/>
          <w:b w:val="false"/>
          <w:bCs w:val="false"/>
          <w:i w:val="false"/>
          <w:iCs w:val="false"/>
          <w:sz w:val="24"/>
          <w:szCs w:val="24"/>
        </w:rPr>
        <w:t xml:space="preserve">cujas médias e desvios-padrão são reportados na subseção 5.3</w:t>
      </w:r>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e não sustentam decisão sobre as hipóteses.</w:t>
      </w:r>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r>
        <w:rPr>
          <w:rFonts w:ascii="Times New Roman" w:cs="Times New Roman" w:eastAsia="Times New Roman" w:hAnsi="Times New Roman"/>
          <w:b w:val="false"/>
          <w:bCs w:val="false"/>
          <w:i w:val="false"/>
          <w:iCs w:val="false"/>
          <w:sz w:val="24"/>
          <w:szCs w:val="24"/>
        </w:rPr>
        <w:t xml:space="preserve">Das 149 entradas da amostra comum no horizonte de um ano</w:t>
      </w:r>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r>
        <w:rPr>
          <w:rFonts w:ascii="Times New Roman" w:cs="Times New Roman" w:eastAsia="Times New Roman" w:hAnsi="Times New Roman"/>
          <w:b w:val="false"/>
          <w:bCs w:val="false"/>
          <w:i w:val="false"/>
          <w:iCs w:val="false"/>
          <w:sz w:val="24"/>
          <w:szCs w:val="24"/>
        </w:rPr>
        <w:t xml:space="preserve">referentes aos exercícios de 2010 a 2025</w:t>
      </w:r>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r>
        <w:rPr>
          <w:rFonts w:ascii="Times New Roman" w:cs="Times New Roman" w:eastAsia="Times New Roman" w:hAnsi="Times New Roman"/>
          <w:b w:val="false"/>
          <w:bCs w:val="false"/>
          <w:i w:val="false"/>
          <w:iCs w:val="false"/>
          <w:sz w:val="24"/>
          <w:szCs w:val="24"/>
        </w:rPr>
        <w:t xml:space="preserve">a cobertura varia de menos 82,0 a 575,6</w:t>
      </w:r>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r>
        <w:rPr>
          <w:rFonts w:ascii="Times New Roman" w:cs="Times New Roman" w:eastAsia="Times New Roman" w:hAnsi="Times New Roman"/>
          <w:b w:val="false"/>
          <w:bCs w:val="false"/>
          <w:i w:val="false"/>
          <w:iCs w:val="false"/>
          <w:sz w:val="24"/>
          <w:szCs w:val="24"/>
        </w:rPr>
        <w:t xml:space="preserve">A correlação máxima é de 0,44</w:t>
      </w:r>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r>
        <w:rPr>
          <w:rFonts w:ascii="Times New Roman" w:cs="Times New Roman" w:eastAsia="Times New Roman" w:hAnsi="Times New Roman"/>
          <w:b w:val="false"/>
          <w:bCs w:val="false"/>
          <w:i w:val="false"/>
          <w:iCs w:val="false"/>
          <w:sz w:val="24"/>
          <w:szCs w:val="24"/>
        </w:rPr>
        <w:t xml:space="preserve">sua correlação mais alta é de 0,21 com o retorno sobre ativos</w:t>
      </w:r>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50 observações censuradas à esquerda</w:t>
      </w:r>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r>
        <w:rPr>
          <w:rFonts w:ascii="Times New Roman" w:cs="Times New Roman" w:eastAsia="Times New Roman" w:hAnsi="Times New Roman"/>
          <w:b w:val="false"/>
          <w:bCs w:val="false"/>
          <w:i w:val="false"/>
          <w:iCs w:val="false"/>
          <w:sz w:val="24"/>
          <w:szCs w:val="24"/>
        </w:rPr>
        <w:t xml:space="preserve">ao passo que 3,01% é a frequência do evento</w:t>
      </w:r>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r>
        <w:rPr>
          <w:rFonts w:ascii="Times New Roman" w:cs="Times New Roman" w:eastAsia="Times New Roman" w:hAnsi="Times New Roman"/>
          <w:b w:val="false"/>
          <w:bCs w:val="false"/>
          <w:i w:val="false"/>
          <w:iCs w:val="false"/>
          <w:sz w:val="24"/>
          <w:szCs w:val="24"/>
        </w:rPr>
        <w:t xml:space="preserve">e em qual delas o escore tem desempenho fraco</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0,782 (Tabela A.1). Excluída a cobertura de juros, ela passa a 0,769.</w:t>
      </w:r>
      <w:r>
        <w:rPr>
          <w:rFonts w:ascii="Times New Roman" w:cs="Times New Roman" w:eastAsia="Times New Roman" w:hAnsi="Times New Roman"/>
          <w:b w:val="false"/>
          <w:bCs w:val="false"/>
          <w:i w:val="false"/>
          <w:iCs w:val="false"/>
          <w:sz w:val="24"/>
          <w:szCs w:val="24"/>
        </w:rPr>
        <w:t xml:space="preserve">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A.2 reporta a área sob a curva ROC dos modelos dentro da amostra, com e sem controles, e fora da amostra sob o procedimento descrito na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8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[+0,086;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+0,192]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69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6996"/>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w:t>
      </w:r>
      <w:r>
        <w:rPr>
          <w:rFonts w:ascii="Times New Roman" w:cs="Times New Roman" w:eastAsia="Times New Roman" w:hAnsi="Times New Roman"/>
          <w:b w:val="false"/>
          <w:bCs w:val="false"/>
          <w:i w:val="false"/>
          <w:iCs w:val="false"/>
          <w:sz w:val="24"/>
          <w:szCs w:val="24"/>
        </w:rPr>
        <w:t xml:space="preserve">0,874 do retorno sobre ativos e 0,897 da referência não linear</w:t>
      </w:r>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r>
        <w:rPr>
          <w:rFonts w:ascii="Times New Roman" w:cs="Times New Roman" w:eastAsia="Times New Roman" w:hAnsi="Times New Roman"/>
          <w:b w:val="false"/>
          <w:bCs w:val="false"/>
          <w:i w:val="false"/>
          <w:iCs w:val="false"/>
          <w:sz w:val="24"/>
          <w:szCs w:val="24"/>
        </w:rPr>
        <w:t xml:space="preserve">que ele supera por 0,030 ponto sem significância estatística. Sob as dez atribuições aleatórias de firmas a partições, as médias praticamente coincidem com os valores da atribuição de referência: 0,763 para o escore sintético, com desvio-padrão de 0,002, 0,874 para o escore supervisionado (0,003) e 0,897 para a referência não linear (0,004). O modelo de Brito e Assaf Neto é o mais sensível à atribuição, com média de 0,725 e amplitude de 0,705 a 0,739, o que reforça a leitura de que sua diferença para o escore sintético não é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A.3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a ordenação da validação cruzada no horizonte de um ano, com 40 entradas no período de teste e todas as diferenças significativas. A conclusão sobre H2, portanto, não depende do esquema de avaliação. </w:t>
      </w:r>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exceção à ordenação é o modelo de Brito e Assaf Neto, que no esquema temporal supera o escore sintético, com 0,787 contra 0,744, ao contrário do que ocorre na validação cruzada.</w:t>
      </w:r>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coeficiente é positivo e significativo, com p &lt; 0,001, nos quatro modelos.</w:t>
      </w:r>
      <w:r>
        <w:rPr>
          <w:rFonts w:ascii="Times New Roman" w:cs="Times New Roman" w:eastAsia="Times New Roman" w:hAnsi="Times New Roman"/>
          <w:b w:val="false"/>
          <w:bCs w:val="false"/>
          <w:i w:val="false"/>
          <w:iCs w:val="false"/>
          <w:sz w:val="24"/>
          <w:szCs w:val="24"/>
        </w:rPr>
        <w:t xml:space="preserve">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w:t>
      </w:r>
      <w:r>
        <w:rPr>
          <w:rFonts w:ascii="Times New Roman" w:cs="Times New Roman" w:eastAsia="Times New Roman" w:hAnsi="Times New Roman"/>
          <w:b w:val="false"/>
          <w:bCs w:val="false"/>
          <w:i w:val="false"/>
          <w:iCs w:val="false"/>
          <w:sz w:val="24"/>
          <w:szCs w:val="24"/>
        </w:rPr>
        <w:t xml:space="preserve">Os três são significativos, com p &lt; 0,001,</w:t>
      </w:r>
      <w:r>
        <w:rPr>
          <w:rFonts w:ascii="Times New Roman" w:cs="Times New Roman" w:eastAsia="Times New Roman" w:hAnsi="Times New Roman"/>
          <w:b w:val="false"/>
          <w:bCs w:val="false"/>
          <w:i w:val="false"/>
          <w:iCs w:val="false"/>
          <w:sz w:val="24"/>
          <w:szCs w:val="24"/>
        </w:rPr>
        <w:t xml:space="preserve">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071"/>
        <w:gridCol w:w="1000"/>
        <w:gridCol w:w="1000"/>
        <w:gridCol w:w="1000"/>
        <w:gridCol w:w="1100"/>
        <w:gridCol w:w="1000"/>
        <w:gridCol w:w="1000"/>
        <w:gridCol w:w="900"/>
      </w:tblGrid>
      <w:tr>
        <w:trPr>
          <w:tblHeader/>
        </w:trPr>
        <w:tc>
          <w:tcPr>
            <w:tcW w:type="dxa" w:w="2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0,689</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0,780</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0,824</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0,719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0,618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0,678</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0,654</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8, com a diferença de que os valores desta tabela são médias sobre dez atribuições, </w:t>
      </w:r>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11, alcança 0,649 em um ano</w:t>
      </w:r>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w:t>
      </w:r>
      <w:r>
        <w:rPr>
          <w:rFonts w:ascii="Times New Roman" w:cs="Times New Roman" w:eastAsia="Times New Roman" w:hAnsi="Times New Roman"/>
          <w:b w:val="false"/>
          <w:bCs w:val="false"/>
          <w:i w:val="false"/>
          <w:iCs w:val="false"/>
          <w:sz w:val="24"/>
          <w:szCs w:val="24"/>
        </w:rPr>
        <w:t xml:space="preserve">A única diferença significativa nesse tipo de entrada é contra o escore supervisionado, que o escore sintético supera por 0,066 ponto, resultado que não resiste à antecipação das datas de recuperação judicial examinada na subseção 5.9.</w:t>
      </w:r>
      <w:r>
        <w:rPr>
          <w:rFonts w:ascii="Times New Roman" w:cs="Times New Roman" w:eastAsia="Times New Roman" w:hAnsi="Times New Roman"/>
          <w:b w:val="false"/>
          <w:bCs w:val="false"/>
          <w:i w:val="false"/>
          <w:iCs w:val="false"/>
          <w:sz w:val="24"/>
          <w:szCs w:val="24"/>
        </w:rPr>
        <w:t xml:space="preserve">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10 não são mutuamente exclusivos, porque uma entrada pode satisfazer mais de um critério. A Tabela 11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1771"/>
        <w:gridCol w:w="1000"/>
        <w:gridCol w:w="850"/>
        <w:gridCol w:w="1100"/>
        <w:gridCol w:w="1650"/>
        <w:gridCol w:w="1050"/>
        <w:gridCol w:w="1650"/>
      </w:tblGrid>
      <w:tr>
        <w:trPr>
          <w:tblHeader/>
        </w:trPr>
        <w:tc>
          <w:tcPr>
            <w:tcW w:type="dxa" w:w="17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8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87925"/>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8792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w:t>
      </w:r>
      <w:r>
        <w:rPr>
          <w:rFonts w:ascii="Times New Roman" w:cs="Times New Roman" w:eastAsia="Times New Roman" w:hAnsi="Times New Roman"/>
          <w:b w:val="false"/>
          <w:bCs w:val="false"/>
          <w:i w:val="false"/>
          <w:iCs w:val="false"/>
          <w:sz w:val="24"/>
          <w:szCs w:val="24"/>
        </w:rPr>
        <w:t xml:space="preserve">e a referência não linear 0,857, sem diferença</w:t>
      </w:r>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r>
        <w:rPr>
          <w:rFonts w:ascii="Times New Roman" w:cs="Times New Roman" w:eastAsia="Times New Roman" w:hAnsi="Times New Roman"/>
          <w:b w:val="false"/>
          <w:bCs w:val="false"/>
          <w:i w:val="false"/>
          <w:iCs w:val="false"/>
          <w:sz w:val="24"/>
          <w:szCs w:val="24"/>
        </w:rPr>
        <w:t xml:space="preserve"> a Tabela 12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13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w:t>
      </w:r>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1421"/>
        <w:gridCol w:w="1100"/>
        <w:gridCol w:w="800"/>
        <w:gridCol w:w="1150"/>
        <w:gridCol w:w="1150"/>
        <w:gridCol w:w="750"/>
        <w:gridCol w:w="1500"/>
        <w:gridCol w:w="1200"/>
      </w:tblGrid>
      <w:tr>
        <w:trPr>
          <w:tblHeader/>
        </w:trPr>
        <w:tc>
          <w:tcPr>
            <w:tcW w:type="dxa" w:w="142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sinalizados</w:t>
            </w:r>
          </w:p>
        </w:tc>
        <w:tc>
          <w:tcPr>
            <w:tcW w:type="dxa" w:w="7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Especificidade</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Decisão líquida 10:1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0,230</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1,087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0,846</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0,184</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0,0256</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0,988</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0,009</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1,072</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0,175</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0,0260</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0,993</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0,843</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0,009</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0,0275</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0,991</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0,570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0,003</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0,0278</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1,075</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54,7%</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0,462</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w:t>
            </w:r>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r>
        <w:rPr>
          <w:rFonts w:ascii="Times New Roman" w:cs="Times New Roman" w:eastAsia="Times New Roman" w:hAnsi="Times New Roman"/>
          <w:b w:val="false"/>
          <w:bCs w:val="false"/>
          <w:i w:val="false"/>
          <w:iCs w:val="false"/>
          <w:sz w:val="20"/>
          <w:szCs w:val="20"/>
        </w:rPr>
        <w:t xml:space="preserve">Firma-anos sinalizados, valor preditivo positivo e especificidade referem-se</w:t>
      </w:r>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 Decisão líquida por firma-ano, sob razão de custo de dez para um; a de não sinalizar ninguém é zero. No mesmo limiar, o valor preditivo negativo fica entre 0,988 e 0,993 em todos os modelos. Modelos na ordem da área sob a curva ROC da Tabela 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Na Tabela 14, a ordenação em precisão e revocação reproduz a da área sob a curva ROC, e a calibração é adequada em todos os modelos, com inclinações entre 0,988 e 1,087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r>
        <w:rPr>
          <w:rFonts w:ascii="Times New Roman" w:cs="Times New Roman" w:eastAsia="Times New Roman" w:hAnsi="Times New Roman"/>
          <w:b w:val="false"/>
          <w:bCs w:val="false"/>
          <w:i w:val="false"/>
          <w:iCs w:val="false"/>
          <w:sz w:val="24"/>
          <w:szCs w:val="24"/>
        </w:rPr>
        <w:t xml:space="preserve">a regra baseada no escore sintético sinaliza 44,1% dos firma-anos</w:t>
      </w:r>
      <w:r>
        <w:rPr>
          <w:rFonts w:ascii="Times New Roman" w:cs="Times New Roman" w:eastAsia="Times New Roman" w:hAnsi="Times New Roman"/>
          <w:b w:val="false"/>
          <w:bCs w:val="false"/>
          <w:i w:val="false"/>
          <w:iCs w:val="false"/>
          <w:sz w:val="24"/>
          <w:szCs w:val="24"/>
        </w:rPr>
        <w:t xml:space="preserve">, contra 18,7% da cobertura de juros, </w:t>
      </w:r>
      <w:r>
        <w:rPr>
          <w:rFonts w:ascii="Times New Roman" w:cs="Times New Roman" w:eastAsia="Times New Roman" w:hAnsi="Times New Roman"/>
          <w:b w:val="false"/>
          <w:bCs w:val="false"/>
          <w:i w:val="false"/>
          <w:iCs w:val="false"/>
          <w:sz w:val="24"/>
          <w:szCs w:val="24"/>
        </w:rPr>
        <w:t xml:space="preserve">com valor preditivo positivo de 0,053 contra 0,124. No mesmo limiar, a especificidade é de 0,570 para o escore sintético e de 0,831 para a cobertura de juros,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A.4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A.5 reúne as sensibilidades que alteram a amostra sem alterar a definição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201 saídas se dividem em fechamento voluntário de capital (119), recuperação judicial (28), incorporação ou reorganização (22), falência ou liquidação (12), cancelamento por outro motivo (7) e motivo não identificado (13); 28 delas decorrem apenas do filtro amostral, com o registro ainda ativo. As 44 saídas associadas a dificuldade financeira pelo cadastro, 21,9%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A.6.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0,765 para o escore sintético e a 0,887 para a cobertura de juros, e as conclusões agregadas e por rota de deterioração se mantêm, com duas qualificações: nas entradas exclusivamente por patrimônio líquido negativo, a vantagem do escore sintético sobre o supervisionado deixa de ser distinguível, e no horizonte de dois anos a diferença entre a cobertura de juros e o escore sintético passa a resistir à correção de Bonferroni.</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w:t>
      </w:r>
      <w:r>
        <w:rPr>
          <w:rFonts w:ascii="Times New Roman" w:cs="Times New Roman" w:eastAsia="Times New Roman" w:hAnsi="Times New Roman"/>
          <w:b w:val="false"/>
          <w:bCs w:val="false"/>
          <w:i w:val="false"/>
          <w:iCs w:val="false"/>
          <w:sz w:val="24"/>
          <w:szCs w:val="24"/>
        </w:rPr>
        <w:t xml:space="preserve">com 0,649 contra 0,973 da cobertura de juros em um ano, contraste em boa parte mecânico, e 0,377 contra 0,522 em dois anos, horizonte em que a ordenação do escore se inverte.</w:t>
      </w:r>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nenhuma diferença contra as razões isoladas é estatisticamente distinguível, </w:t>
      </w:r>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são consistentes com uma explicação de composição.</w:t>
      </w:r>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r>
        <w:rPr>
          <w:rFonts w:ascii="Times New Roman" w:cs="Times New Roman" w:eastAsia="Times New Roman" w:hAnsi="Times New Roman"/>
          <w:b w:val="false"/>
          <w:bCs w:val="false"/>
          <w:i w:val="false"/>
          <w:iCs w:val="false"/>
          <w:sz w:val="24"/>
          <w:szCs w:val="24"/>
        </w:rPr>
        <w:t xml:space="preserve"> A multidimensionalidade documentada na avaliação de H1 e o desempenho agregado inferior documentado na de H2 </w:t>
      </w:r>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p>
    <w:p>
      <w:pPr>
        <w:keepNext/>
        <w:spacing w:after="180" w:before="360" w:line="360"/>
        <w:jc w:val="left"/>
        <w:rPr/>
      </w:pPr>
      <w:r>
        <w:rPr>
          <w:rFonts w:ascii="Times New Roman" w:cs="Times New Roman" w:eastAsia="Times New Roman" w:hAnsi="Times New Roman"/>
          <w:b/>
          <w:bCs/>
          <w:i w:val="false"/>
          <w:iCs w:val="false"/>
          <w:sz w:val="24"/>
          <w:szCs w:val="24"/>
        </w:rPr>
        <w:t xml:space="preserve">Disponibilidade de dados e código</w:t>
      </w:r>
    </w:p>
    <w:p>
      <w:pPr>
        <w:spacing w:after="0" w:before="0" w:line="360"/>
        <w:ind w:firstLine="708"/>
        <w:jc w:val="both"/>
        <w:rPr/>
      </w:pPr>
      <w:r>
        <w:rPr>
          <w:rFonts w:ascii="Times New Roman" w:cs="Times New Roman" w:eastAsia="Times New Roman" w:hAnsi="Times New Roman"/>
          <w:b w:val="false"/>
          <w:bCs w:val="false"/>
          <w:i w:val="false"/>
          <w:iCs w:val="false"/>
          <w:sz w:val="24"/>
          <w:szCs w:val="24"/>
        </w:rPr>
        <w:t xml:space="preserve">Os painéis foram construídos a partir dos dados abertos da Comissão de Valores Mobiliários: Demonstrações Financeiras Padronizadas, documentos periódicos e eventuais e cadastro de companhias abertas. Os painéis construídos, o código que reproduz todas as tabelas e figuras e a lista das versões das bibliotecas utilizadas estão disponíveis com o autor.</w:t>
      </w:r>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JONES, S.; JOHNSTONE, D.; WILSON, R. Predicting corporate bankruptcy: an evaluation of alternative statistical frameworks. Journal of Business Finance &amp; Accounting, v. 44, n. 1-2, p. 3-34, 2017.</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TIAN, S.; YU, Y.; GUO, H. Variable selection and corporate bankruptcy forecasts. Journal of Banking &amp; Finance, v. 52, p. 89-100,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VEGANZONES, D.; SÉVERIN, E. An investigation of bankruptcy prediction in imbalanced datasets. Decision Support Systems, v. 112, p. 111-124, 2018.</w:t>
      </w:r>
    </w:p>
    <w:p>
      <w:pPr>
        <w:spacing w:after="180" w:before="0" w:line="240"/>
        <w:jc w:val="left"/>
        <w:rPr/>
      </w:pPr>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p>
      <w:pPr>
        <w:keepNext/>
        <w:pageBreakBefore/>
        <w:spacing w:after="180" w:before="360" w:line="360"/>
        <w:jc w:val="left"/>
      </w:pPr>
      <w:r>
        <w:rPr>
          <w:rFonts w:ascii="Times New Roman" w:cs="Times New Roman" w:eastAsia="Times New Roman" w:hAnsi="Times New Roman"/>
          <w:b/>
          <w:bCs/>
          <w:i w:val="false"/>
          <w:iCs w:val="false"/>
          <w:sz w:val="24"/>
          <w:szCs w:val="24"/>
        </w:rPr>
        <w:t xml:space="preserve">APÊNDICE A – TABELAS COMPLEMENTARES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Este apêndice reúne as tabelas de validação convergente, de avaliação complementar e de robustez citadas no texto. A numeração segue a ordem em que são mencionadas.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A.1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0,908</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0,433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0,782</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r>
        <w:rPr>
          <w:rFonts w:ascii="Times New Roman" w:cs="Times New Roman" w:eastAsia="Times New Roman" w:hAnsi="Times New Roman"/>
          <w:b w:val="false"/>
          <w:bCs w:val="false"/>
          <w:i w:val="false"/>
          <w:iCs w:val="false"/>
          <w:sz w:val="20"/>
          <w:szCs w:val="20"/>
        </w:rPr>
        <w:t xml:space="preserve">abrangendo 2.254 firma-anos, ou 30,4% do painel</w:t>
      </w:r>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A.2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0,755</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A.3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0,708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A.4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A.5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2971"/>
        <w:gridCol w:w="900"/>
        <w:gridCol w:w="1000"/>
        <w:gridCol w:w="1000"/>
        <w:gridCol w:w="1000"/>
        <w:gridCol w:w="1200"/>
        <w:gridCol w:w="1000"/>
      </w:tblGrid>
      <w:tr>
        <w:trPr>
          <w:tblHeader/>
        </w:trPr>
        <w:tc>
          <w:tcPr>
            <w:tcW w:type="dxa" w:w="29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5.055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0,872</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0,871</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A.6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8.</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