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GESTLINK </w:t>
      </w:r>
    </w:p>
    <w:tbl>
      <w:tblPr>
        <w:tblStyle w:val="Table1"/>
        <w:tblW w:w="900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ARCHITECTURAL DESIGN DOCUMENT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Version 1.0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Page 3 of 3 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Architectural Design Diagram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Gesture Classification Logic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Local Feedback Mapping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MQQT Data Staging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 Monitoring (D)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Sensor (E)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GPIO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TCP/IP Stack (G)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 Layer (H)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I2C / SPI (I)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GPIO (LEDs) (J)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 (K)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Ethernet MAC (L)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STM 32 (M)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Interactions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--&gt; I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--&gt; J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--&gt; K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--&gt; L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--&gt; E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 --&gt; F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--&gt; A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--&gt; B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 --&gt; H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--&gt; G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 --&gt; C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--&gt; A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--&gt; B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--&gt; C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--&gt; D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--&gt; B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--&gt; C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--&gt; J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--&gt; G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--&gt; G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--&gt; F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--&gt; 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Layer 2 : Hardware Abstraction Layer (HAL)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4440"/>
        <w:gridCol w:w="2685"/>
        <w:tblGridChange w:id="0">
          <w:tblGrid>
            <w:gridCol w:w="1905"/>
            <w:gridCol w:w="4440"/>
            <w:gridCol w:w="26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Upstream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 (I2C / SPI)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Handles low-level serial communication protocols necessary to transfer raw data between the STM32 and the PAJ7660 Sensor.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Feeds the Sensor Driver (E).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 (GPIO - LEDs)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direct control over the physical pins used to drive the High-Luminosity LEDs.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Controls the GPIO Driver (F), which handles local feedback.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 (TIM)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Manages system timers, interrupts, and scheduling ticks.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Crucial for the reliable operation of the OS Layer (H).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 (Ethernet 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Manages the physical link and data framing required for all network traffic (Wired Ethernet).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Feeds the TCP/IP Stack (G).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Layer 3 : Middleware / Drivers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645"/>
        <w:gridCol w:w="3360"/>
        <w:tblGridChange w:id="0">
          <w:tblGrid>
            <w:gridCol w:w="1785"/>
            <w:gridCol w:w="3645"/>
            <w:gridCol w:w="3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Upstream/Downstream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 (Sensor 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Manages the specific initialization, configuration, and data retrieval for the PAJ7660 sensor. It retrieves the pre-classified Gesture ID from the sensor.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Interfaces with HAL I2C/SPI (I) and supplies data to Classification Logic (A).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 (GPIO 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Provides simple, logical functions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8"/>
                <w:szCs w:val="28"/>
                <w:shd w:fill="e9eef6" w:val="clear"/>
                <w:rtl w:val="0"/>
              </w:rPr>
              <w:t xml:space="preserve">set_leds_by_count(N)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) to control the LEDs. It maps the abstract request from the application to the physical pin toggles via the HAL.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Interfaces with HAL GPIO (J) and takes commands from Feedback Mapping (B) and System Monitoring (D).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 (TCP/IP Stack - LWIP)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Lightweight Internet Protocol stack. It handles the necessary TCP and IP layers to enable reliable, routable communication over Ethernet.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Interfaces with HAL Ethernet MAC (L) and supports the MQTT Staging (C) block.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 (OS Layer - FreeRTOS)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Real-Time Operating System that manages concurrency. It ensures tasks (A, B, C, D) run reliably with necessary priority, crucial for the &lt;=200 ms latency requirement.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Built on HAL TIM (K) and provides task scheduling services to all blocks in the Application Layer (A, B, C, D).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Layer 4 : Application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705"/>
        <w:gridCol w:w="2925"/>
        <w:tblGridChange w:id="0">
          <w:tblGrid>
            <w:gridCol w:w="2160"/>
            <w:gridCol w:w="3705"/>
            <w:gridCol w:w="29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Inputs /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 (Gesture Classification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main control task. It retrieves the pre-classified Gesture ID from the Sensor Driver (E), validates it, and triggers the necessary outputs.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Input: Sensor Driver (E). Output: Feedback Mapping (B) and MQTT Staging (C).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 (Local Feedback Mapping)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Implements the low-latency visual confirmation. It receives the classified ID and calls the GPIO Driver (F) to display the corresponding LED pattern immediately.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Input: Classification Logic (A). Output: GPIO Driver (F) (via J).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 (MQTT Data Staging)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Handles the protocol translation and network communication. It formats the Gesture ID into a reliable QoS 1 MQTT payload and initiates transmission.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Input: Classification Logic (A). Output: TCP/IP Stack (G).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 (System Monitoring)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Manages high-level system checks, including network status, sensor health, and watchdog timer maintenance. It triggers fault indicators upon failure.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Monitors TCP/IP Stack (G) and Sensor Driver (E). If failure, triggers the alert via the GPIO Driver (F).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