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b/>
          <w:bCs/>
          <w:color w:val="1F3864"/>
          <w:sz w:val="48"/>
          <w:szCs w:val="48"/>
        </w:rPr>
        <w:t xml:space="preserve">Prediction Markets, Kalshi &amp; Market Inefficiencies</w:t>
      </w:r>
    </w:p>
    <w:p>
      <w:pPr>
        <w:spacing w:after="100"/>
        <w:jc w:val="center"/>
      </w:pPr>
      <w:r>
        <w:rPr>
          <w:i/>
          <w:iCs/>
          <w:color w:val="2E5496"/>
          <w:sz w:val="26"/>
          <w:szCs w:val="26"/>
        </w:rPr>
        <w:t xml:space="preserve">A Literature Review Focused on Actionable Trading Signals</w:t>
      </w:r>
    </w:p>
    <w:p>
      <w:pPr>
        <w:spacing w:after="60"/>
        <w:jc w:val="center"/>
      </w:pPr>
      <w:r>
        <w:rPr>
          <w:color w:val="595959"/>
          <w:sz w:val="20"/>
          <w:szCs w:val="20"/>
        </w:rPr>
        <w:t xml:space="preserve">Core-essentials review of 16 papers · Synthesis · 18 ranked strategy ideas</w:t>
      </w:r>
    </w:p>
    <w:p>
      <w:pPr>
        <w:spacing w:after="60"/>
        <w:jc w:val="center"/>
      </w:pPr>
      <w:r>
        <w:rPr>
          <w:color w:val="595959"/>
          <w:sz w:val="20"/>
          <w:szCs w:val="20"/>
        </w:rPr>
        <w:t xml:space="preserve">Prepared for the Kalshi Agent project — July 8, 2026</w:t>
      </w:r>
    </w:p>
    <w:p>
      <w:r>
        <w:br w:type="page"/>
      </w:r>
    </w:p>
    <w:p>
      <w:pPr>
        <w:pStyle w:val="Heading1"/>
        <w:spacing w:after="160" w:before="32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b/>
          <w:bCs/>
          <w:color w:val="1F3864"/>
          <w:sz w:val="30"/>
          <w:szCs w:val="30"/>
        </w:rPr>
        <w:t xml:space="preserve">Executive Summary</w:t>
      </w:r>
    </w:p>
    <w:p>
      <w:pPr>
        <w:spacing w:after="120" w:line="276"/>
      </w:pPr>
      <w:r>
        <w:rPr>
          <w:sz w:val="21"/>
          <w:szCs w:val="21"/>
        </w:rPr>
        <w:t xml:space="preserve">This review synthesizes 16 core papers on prediction-market efficiency, calibration and inefficiency, weighted toward what is directly actionable on Kalshi. Three findings recur across independent studies and can be treated as well-established. First, prediction-market prices are good but imperfect probabilities: they beat polls and expert forecasts more often than not, they sharpen as expiration approaches, but they are not literally the mean belief of traders (Wolfers–Zitzewitz 2004/2006; Manski 2006; Berg–Nelson–Rietz 2008). Second, a favorite-longshot bias is pervasive and, importantly, has now been measured directly on Kalshi: cheap contracts systematically win less often than their price implies while heavy favorites are mildly underpriced (Snowberg–Wolfers 2010; Page–Clemen 2013; Bürgi–Deng–Whelan 2025). Third, the bias and other inefficiencies are largest exactly where liquidity is thin and horizons are long, and they decay as markets mature and depth builds (Page–Clemen 2013; Angelini–De Angelis 2026; the Polymarket 2024 anatomy study).</w:t>
      </w:r>
    </w:p>
    <w:p>
      <w:pPr>
        <w:spacing w:after="120" w:line="276"/>
      </w:pPr>
      <w:r>
        <w:rPr>
          <w:sz w:val="21"/>
          <w:szCs w:val="21"/>
        </w:rPr>
        <w:t xml:space="preserve">For Kalshi specifically, the single most important paper is Bürgi, Deng &amp; Whelan (2025), the first transaction-level study of Kalshi (300,000+ contracts). It quantifies a strong favorite-longshot bias, an average pre-fee return near −20%, and — critically — shows that informed Makers who post resting offers earn small positive expected returns while Takers systematically lose. The clearest structural edges that emerge from the literature are therefore: (1) provide liquidity as a Maker rather than cross the spread as a Taker; (2) systematically fade extreme longshots and lean into heavy favorites, especially on long-dated contracts; (3) exploit short-horizon underreaction to public news in mid-liquidity markets; and (4) run fee- and resolution-rule-aware cross-venue (Kalshi↔Polymarket) arbitrage, using Polymarket as a price-discovery leader. The most promising modeling direction is a retrieval-grounded, multi-agent, explicitly-calibrated forecaster (AIA Forecaster architecture) — but with a hard caveat from KalshiBench: raw LLM probabilities are overconfident and must be post-hoc calibrated before they touch capital.</w:t>
      </w:r>
    </w:p>
    <w:p>
      <w:pPr>
        <w:spacing w:after="120" w:line="276"/>
      </w:pPr>
      <w:r>
        <w:rPr>
          <w:b/>
          <w:bCs/>
          <w:sz w:val="21"/>
          <w:szCs w:val="21"/>
        </w:rPr>
        <w:t xml:space="preserve">Confidence coding used throughout: </w:t>
      </w:r>
      <w:r>
        <w:rPr>
          <w:b/>
          <w:bCs/>
          <w:color w:val="1E7145"/>
          <w:sz w:val="21"/>
          <w:szCs w:val="21"/>
        </w:rPr>
        <w:t xml:space="preserve">Well-established</w:t>
      </w:r>
      <w:r>
        <w:rPr>
          <w:sz w:val="21"/>
          <w:szCs w:val="21"/>
        </w:rPr>
        <w:t xml:space="preserve"> (multiple independent studies agree), </w:t>
      </w:r>
      <w:r>
        <w:rPr>
          <w:b/>
          <w:bCs/>
          <w:color w:val="9C6500"/>
          <w:sz w:val="21"/>
          <w:szCs w:val="21"/>
        </w:rPr>
        <w:t xml:space="preserve">Mixed evidence</w:t>
      </w:r>
      <w:r>
        <w:rPr>
          <w:sz w:val="21"/>
          <w:szCs w:val="21"/>
        </w:rPr>
        <w:t xml:space="preserve"> (supportive but limited or contested), </w:t>
      </w:r>
      <w:r>
        <w:rPr>
          <w:b/>
          <w:bCs/>
          <w:color w:val="9C2A2A"/>
          <w:sz w:val="21"/>
          <w:szCs w:val="21"/>
        </w:rPr>
        <w:t xml:space="preserve">Speculative</w:t>
      </w:r>
      <w:r>
        <w:rPr>
          <w:sz w:val="21"/>
          <w:szCs w:val="21"/>
        </w:rPr>
        <w:t xml:space="preserve"> (single preprint or logical extrapolation).</w:t>
      </w:r>
    </w:p>
    <w:p>
      <w:pPr>
        <w:pStyle w:val="Heading1"/>
        <w:spacing w:after="160" w:before="320"/>
      </w:pPr>
      <w:r>
        <w:rPr>
          <w:b/>
          <w:bCs/>
          <w:color w:val="1F3864"/>
          <w:sz w:val="30"/>
          <w:szCs w:val="30"/>
        </w:rPr>
        <w:t xml:space="preserve">Scope, Method &amp; Caveats</w:t>
      </w:r>
    </w:p>
    <w:p>
      <w:pPr>
        <w:spacing w:after="120" w:line="276"/>
      </w:pPr>
      <w:r>
        <w:rPr>
          <w:sz w:val="21"/>
          <w:szCs w:val="21"/>
        </w:rPr>
        <w:t xml:space="preserve">Coverage was deliberately scoped to the ~16 most foundational and most directly actionable papers rather than an exhaustive sweep, per the requested 'core essentials' depth with an emphasis on trading signals. Sources span peer-reviewed journals (Journal of Economic Perspectives, Journal of Political Economy, The Economic Journal, International Journal of Forecasting, Economics Letters), NBER/CESifo/SSRN working papers, and recent arXiv preprints that are the only work directly touching Kalshi. Each paper is documented with citation, venue, peer-review status, approximate citation count, a summary, findings, data, methodology, limitations, Kalshi relevance and candidate strategy ideas.</w:t>
      </w:r>
    </w:p>
    <w:p>
      <w:pPr>
        <w:spacing w:after="120" w:line="276"/>
      </w:pPr>
      <w:r>
        <w:rPr>
          <w:b/>
          <w:bCs/>
          <w:sz w:val="21"/>
          <w:szCs w:val="21"/>
        </w:rPr>
        <w:t xml:space="preserve">Two caveats on the metadata. </w:t>
      </w:r>
      <w:r>
        <w:rPr>
          <w:sz w:val="21"/>
          <w:szCs w:val="21"/>
        </w:rPr>
        <w:t xml:space="preserve">Citation counts are approximate Google-Scholar-style figures as of mid-2026 and move over time; the newest preprints (2025–2026) have effectively no citations yet, which reflects recency, not weakness — they are simply the only papers that study Kalshi directly. And peer-review status matters: the strongest Kalshi-specific evidence currently lives in working papers and preprints, so those findings should be treated as promising but not yet fully vetted.</w:t>
      </w:r>
    </w:p>
    <w:p>
      <w:pPr>
        <w:pStyle w:val="Heading1"/>
        <w:spacing w:after="160" w:before="320"/>
      </w:pPr>
      <w:r>
        <w:rPr>
          <w:b/>
          <w:bCs/>
          <w:color w:val="1F3864"/>
          <w:sz w:val="30"/>
          <w:szCs w:val="30"/>
        </w:rPr>
        <w:t xml:space="preserve">Master Reference Table</w:t>
      </w:r>
    </w:p>
    <w:p>
      <w:pPr>
        <w:spacing w:after="120" w:line="276"/>
      </w:pPr>
      <w:r>
        <w:rPr>
          <w:sz w:val="21"/>
          <w:szCs w:val="21"/>
        </w:rPr>
        <w:t xml:space="preserve">All 16 papers at a glance. Full per-paper detail follows by section; full hyperlinks are in the References section.</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520"/>
        <w:gridCol w:w="3400"/>
        <w:gridCol w:w="1050"/>
        <w:gridCol w:w="2100"/>
        <w:gridCol w:w="1400"/>
        <w:gridCol w:w="900"/>
      </w:tblGrid>
      <w:tr>
        <w:trPr>
          <w:tblHeader/>
        </w:trPr>
        <w:tc>
          <w:tcPr>
            <w:tcW w:type="dxa" w:w="520"/>
            <w:shd w:fill="1F3864" w:val="clear"/>
            <w:tcMar>
              <w:top w:type="dxa" w:w="60"/>
              <w:left w:type="dxa" w:w="90"/>
              <w:bottom w:type="dxa" w:w="60"/>
              <w:right w:type="dxa" w:w="90"/>
            </w:tcMar>
          </w:tcPr>
          <w:p>
            <w:r>
              <w:rPr>
                <w:b/>
                <w:bCs/>
                <w:color w:val="FFFFFF"/>
                <w:sz w:val="18"/>
                <w:szCs w:val="18"/>
              </w:rPr>
              <w:t xml:space="preserve">#</w:t>
            </w:r>
          </w:p>
        </w:tc>
        <w:tc>
          <w:tcPr>
            <w:tcW w:type="dxa" w:w="3400"/>
            <w:shd w:fill="1F3864" w:val="clear"/>
            <w:tcMar>
              <w:top w:type="dxa" w:w="60"/>
              <w:left w:type="dxa" w:w="90"/>
              <w:bottom w:type="dxa" w:w="60"/>
              <w:right w:type="dxa" w:w="90"/>
            </w:tcMar>
          </w:tcPr>
          <w:p>
            <w:r>
              <w:rPr>
                <w:b/>
                <w:bCs/>
                <w:color w:val="FFFFFF"/>
                <w:sz w:val="18"/>
                <w:szCs w:val="18"/>
              </w:rPr>
              <w:t xml:space="preserve">Paper (short)</w:t>
            </w:r>
          </w:p>
        </w:tc>
        <w:tc>
          <w:tcPr>
            <w:tcW w:type="dxa" w:w="1050"/>
            <w:shd w:fill="1F3864" w:val="clear"/>
            <w:tcMar>
              <w:top w:type="dxa" w:w="60"/>
              <w:left w:type="dxa" w:w="90"/>
              <w:bottom w:type="dxa" w:w="60"/>
              <w:right w:type="dxa" w:w="90"/>
            </w:tcMar>
          </w:tcPr>
          <w:p>
            <w:r>
              <w:rPr>
                <w:b/>
                <w:bCs/>
                <w:color w:val="FFFFFF"/>
                <w:sz w:val="18"/>
                <w:szCs w:val="18"/>
              </w:rPr>
              <w:t xml:space="preserve">Year</w:t>
            </w:r>
          </w:p>
        </w:tc>
        <w:tc>
          <w:tcPr>
            <w:tcW w:type="dxa" w:w="2100"/>
            <w:shd w:fill="1F3864" w:val="clear"/>
            <w:tcMar>
              <w:top w:type="dxa" w:w="60"/>
              <w:left w:type="dxa" w:w="90"/>
              <w:bottom w:type="dxa" w:w="60"/>
              <w:right w:type="dxa" w:w="90"/>
            </w:tcMar>
          </w:tcPr>
          <w:p>
            <w:r>
              <w:rPr>
                <w:b/>
                <w:bCs/>
                <w:color w:val="FFFFFF"/>
                <w:sz w:val="18"/>
                <w:szCs w:val="18"/>
              </w:rPr>
              <w:t xml:space="preserve">Venue / Type</w:t>
            </w:r>
          </w:p>
        </w:tc>
        <w:tc>
          <w:tcPr>
            <w:tcW w:type="dxa" w:w="1400"/>
            <w:shd w:fill="1F3864" w:val="clear"/>
            <w:tcMar>
              <w:top w:type="dxa" w:w="60"/>
              <w:left w:type="dxa" w:w="90"/>
              <w:bottom w:type="dxa" w:w="60"/>
              <w:right w:type="dxa" w:w="90"/>
            </w:tcMar>
          </w:tcPr>
          <w:p>
            <w:r>
              <w:rPr>
                <w:b/>
                <w:bCs/>
                <w:color w:val="FFFFFF"/>
                <w:sz w:val="18"/>
                <w:szCs w:val="18"/>
              </w:rPr>
              <w:t xml:space="preserve">Peer rev.</w:t>
            </w:r>
          </w:p>
        </w:tc>
        <w:tc>
          <w:tcPr>
            <w:tcW w:type="dxa" w:w="900"/>
            <w:shd w:fill="1F3864" w:val="clear"/>
            <w:tcMar>
              <w:top w:type="dxa" w:w="60"/>
              <w:left w:type="dxa" w:w="90"/>
              <w:bottom w:type="dxa" w:w="60"/>
              <w:right w:type="dxa" w:w="90"/>
            </w:tcMar>
          </w:tcPr>
          <w:p>
            <w:r>
              <w:rPr>
                <w:b/>
                <w:bCs/>
                <w:color w:val="FFFFFF"/>
                <w:sz w:val="18"/>
                <w:szCs w:val="18"/>
              </w:rPr>
              <w:t xml:space="preserve">Cites~</w:t>
            </w:r>
          </w:p>
        </w:tc>
      </w:tr>
      <w:tr>
        <w:tc>
          <w:tcPr>
            <w:tcW w:type="dxa" w:w="520"/>
            <w:shd w:fill="DCE6F1" w:val="clear"/>
            <w:tcMar>
              <w:top w:type="dxa" w:w="60"/>
              <w:left w:type="dxa" w:w="90"/>
              <w:bottom w:type="dxa" w:w="60"/>
              <w:right w:type="dxa" w:w="90"/>
            </w:tcMar>
          </w:tcPr>
          <w:p>
            <w:pPr>
              <w:jc w:val="center"/>
            </w:pPr>
            <w:r>
              <w:rPr>
                <w:sz w:val="18"/>
                <w:szCs w:val="18"/>
              </w:rPr>
              <w:t xml:space="preserve">1</w:t>
            </w:r>
          </w:p>
        </w:tc>
        <w:tc>
          <w:tcPr>
            <w:tcW w:type="dxa" w:w="3400"/>
            <w:shd w:fill="DCE6F1" w:val="clear"/>
            <w:tcMar>
              <w:top w:type="dxa" w:w="60"/>
              <w:left w:type="dxa" w:w="90"/>
              <w:bottom w:type="dxa" w:w="60"/>
              <w:right w:type="dxa" w:w="90"/>
            </w:tcMar>
          </w:tcPr>
          <w:p>
            <w:r>
              <w:rPr>
                <w:sz w:val="18"/>
                <w:szCs w:val="18"/>
              </w:rPr>
              <w:t xml:space="preserve">Justin Wolfers et al. — Prediction Markets</w:t>
            </w:r>
          </w:p>
        </w:tc>
        <w:tc>
          <w:tcPr>
            <w:tcW w:type="dxa" w:w="1050"/>
            <w:shd w:fill="DCE6F1" w:val="clear"/>
            <w:tcMar>
              <w:top w:type="dxa" w:w="60"/>
              <w:left w:type="dxa" w:w="90"/>
              <w:bottom w:type="dxa" w:w="60"/>
              <w:right w:type="dxa" w:w="90"/>
            </w:tcMar>
          </w:tcPr>
          <w:p>
            <w:pPr>
              <w:jc w:val="center"/>
            </w:pPr>
            <w:r>
              <w:rPr>
                <w:sz w:val="18"/>
                <w:szCs w:val="18"/>
              </w:rPr>
              <w:t xml:space="preserve">2004</w:t>
            </w:r>
          </w:p>
        </w:tc>
        <w:tc>
          <w:tcPr>
            <w:tcW w:type="dxa" w:w="2100"/>
            <w:shd w:fill="DCE6F1" w:val="clear"/>
            <w:tcMar>
              <w:top w:type="dxa" w:w="60"/>
              <w:left w:type="dxa" w:w="90"/>
              <w:bottom w:type="dxa" w:w="60"/>
              <w:right w:type="dxa" w:w="90"/>
            </w:tcMar>
          </w:tcPr>
          <w:p>
            <w:r>
              <w:rPr>
                <w:sz w:val="18"/>
                <w:szCs w:val="18"/>
              </w:rPr>
              <w:t xml:space="preserve">Journal of Economic Perspectives, </w:t>
            </w:r>
          </w:p>
        </w:tc>
        <w:tc>
          <w:tcPr>
            <w:tcW w:type="dxa" w:w="1400"/>
            <w:shd w:fill="DCE6F1" w:val="clear"/>
            <w:tcMar>
              <w:top w:type="dxa" w:w="60"/>
              <w:left w:type="dxa" w:w="90"/>
              <w:bottom w:type="dxa" w:w="60"/>
              <w:right w:type="dxa" w:w="90"/>
            </w:tcMar>
          </w:tcPr>
          <w:p>
            <w:pPr>
              <w:jc w:val="center"/>
            </w:pPr>
            <w:r>
              <w:rPr>
                <w:sz w:val="18"/>
                <w:szCs w:val="18"/>
              </w:rPr>
              <w:t xml:space="preserve">Yes</w:t>
            </w:r>
          </w:p>
        </w:tc>
        <w:tc>
          <w:tcPr>
            <w:tcW w:type="dxa" w:w="900"/>
            <w:shd w:fill="DCE6F1" w:val="clear"/>
            <w:tcMar>
              <w:top w:type="dxa" w:w="60"/>
              <w:left w:type="dxa" w:w="90"/>
              <w:bottom w:type="dxa" w:w="60"/>
              <w:right w:type="dxa" w:w="90"/>
            </w:tcMar>
          </w:tcPr>
          <w:p>
            <w:pPr>
              <w:jc w:val="center"/>
            </w:pPr>
            <w:r>
              <w:rPr>
                <w:sz w:val="18"/>
                <w:szCs w:val="18"/>
              </w:rPr>
              <w:t xml:space="preserve">~2,700 (GS)</w:t>
            </w:r>
          </w:p>
        </w:tc>
      </w:tr>
      <w:tr>
        <w:tc>
          <w:tcPr>
            <w:tcW w:type="dxa" w:w="520"/>
            <w:shd w:fill="FFFFFF" w:val="clear"/>
            <w:tcMar>
              <w:top w:type="dxa" w:w="60"/>
              <w:left w:type="dxa" w:w="90"/>
              <w:bottom w:type="dxa" w:w="60"/>
              <w:right w:type="dxa" w:w="90"/>
            </w:tcMar>
          </w:tcPr>
          <w:p>
            <w:pPr>
              <w:jc w:val="center"/>
            </w:pPr>
            <w:r>
              <w:rPr>
                <w:sz w:val="18"/>
                <w:szCs w:val="18"/>
              </w:rPr>
              <w:t xml:space="preserve">2</w:t>
            </w:r>
          </w:p>
        </w:tc>
        <w:tc>
          <w:tcPr>
            <w:tcW w:type="dxa" w:w="3400"/>
            <w:shd w:fill="FFFFFF" w:val="clear"/>
            <w:tcMar>
              <w:top w:type="dxa" w:w="60"/>
              <w:left w:type="dxa" w:w="90"/>
              <w:bottom w:type="dxa" w:w="60"/>
              <w:right w:type="dxa" w:w="90"/>
            </w:tcMar>
          </w:tcPr>
          <w:p>
            <w:r>
              <w:rPr>
                <w:sz w:val="18"/>
                <w:szCs w:val="18"/>
              </w:rPr>
              <w:t xml:space="preserve">Justin Wolfers et al. — Interpreting Prediction Market Prices as Probabilities</w:t>
            </w:r>
          </w:p>
        </w:tc>
        <w:tc>
          <w:tcPr>
            <w:tcW w:type="dxa" w:w="1050"/>
            <w:shd w:fill="FFFFFF" w:val="clear"/>
            <w:tcMar>
              <w:top w:type="dxa" w:w="60"/>
              <w:left w:type="dxa" w:w="90"/>
              <w:bottom w:type="dxa" w:w="60"/>
              <w:right w:type="dxa" w:w="90"/>
            </w:tcMar>
          </w:tcPr>
          <w:p>
            <w:pPr>
              <w:jc w:val="center"/>
            </w:pPr>
            <w:r>
              <w:rPr>
                <w:sz w:val="18"/>
                <w:szCs w:val="18"/>
              </w:rPr>
              <w:t xml:space="preserve">2006</w:t>
            </w:r>
          </w:p>
        </w:tc>
        <w:tc>
          <w:tcPr>
            <w:tcW w:type="dxa" w:w="2100"/>
            <w:shd w:fill="FFFFFF" w:val="clear"/>
            <w:tcMar>
              <w:top w:type="dxa" w:w="60"/>
              <w:left w:type="dxa" w:w="90"/>
              <w:bottom w:type="dxa" w:w="60"/>
              <w:right w:type="dxa" w:w="90"/>
            </w:tcMar>
          </w:tcPr>
          <w:p>
            <w:r>
              <w:rPr>
                <w:sz w:val="18"/>
                <w:szCs w:val="18"/>
              </w:rPr>
              <w:t xml:space="preserve">NBER Working Paper No. 12200</w:t>
            </w:r>
          </w:p>
        </w:tc>
        <w:tc>
          <w:tcPr>
            <w:tcW w:type="dxa" w:w="1400"/>
            <w:shd w:fill="FFFFFF" w:val="clear"/>
            <w:tcMar>
              <w:top w:type="dxa" w:w="60"/>
              <w:left w:type="dxa" w:w="90"/>
              <w:bottom w:type="dxa" w:w="60"/>
              <w:right w:type="dxa" w:w="90"/>
            </w:tcMar>
          </w:tcPr>
          <w:p>
            <w:pPr>
              <w:jc w:val="center"/>
            </w:pPr>
            <w:r>
              <w:rPr>
                <w:sz w:val="18"/>
                <w:szCs w:val="18"/>
              </w:rPr>
              <w:t xml:space="preserve">No</w:t>
            </w:r>
          </w:p>
        </w:tc>
        <w:tc>
          <w:tcPr>
            <w:tcW w:type="dxa" w:w="900"/>
            <w:shd w:fill="FFFFFF" w:val="clear"/>
            <w:tcMar>
              <w:top w:type="dxa" w:w="60"/>
              <w:left w:type="dxa" w:w="90"/>
              <w:bottom w:type="dxa" w:w="60"/>
              <w:right w:type="dxa" w:w="90"/>
            </w:tcMar>
          </w:tcPr>
          <w:p>
            <w:pPr>
              <w:jc w:val="center"/>
            </w:pPr>
            <w:r>
              <w:rPr>
                <w:sz w:val="18"/>
                <w:szCs w:val="18"/>
              </w:rPr>
              <w:t xml:space="preserve">~500 (GS)</w:t>
            </w:r>
          </w:p>
        </w:tc>
      </w:tr>
      <w:tr>
        <w:tc>
          <w:tcPr>
            <w:tcW w:type="dxa" w:w="520"/>
            <w:shd w:fill="DCE6F1" w:val="clear"/>
            <w:tcMar>
              <w:top w:type="dxa" w:w="60"/>
              <w:left w:type="dxa" w:w="90"/>
              <w:bottom w:type="dxa" w:w="60"/>
              <w:right w:type="dxa" w:w="90"/>
            </w:tcMar>
          </w:tcPr>
          <w:p>
            <w:pPr>
              <w:jc w:val="center"/>
            </w:pPr>
            <w:r>
              <w:rPr>
                <w:sz w:val="18"/>
                <w:szCs w:val="18"/>
              </w:rPr>
              <w:t xml:space="preserve">3</w:t>
            </w:r>
          </w:p>
        </w:tc>
        <w:tc>
          <w:tcPr>
            <w:tcW w:type="dxa" w:w="3400"/>
            <w:shd w:fill="DCE6F1" w:val="clear"/>
            <w:tcMar>
              <w:top w:type="dxa" w:w="60"/>
              <w:left w:type="dxa" w:w="90"/>
              <w:bottom w:type="dxa" w:w="60"/>
              <w:right w:type="dxa" w:w="90"/>
            </w:tcMar>
          </w:tcPr>
          <w:p>
            <w:r>
              <w:rPr>
                <w:sz w:val="18"/>
                <w:szCs w:val="18"/>
              </w:rPr>
              <w:t xml:space="preserve">Charles F. Manski — Interpreting the Predictions of Prediction Markets</w:t>
            </w:r>
          </w:p>
        </w:tc>
        <w:tc>
          <w:tcPr>
            <w:tcW w:type="dxa" w:w="1050"/>
            <w:shd w:fill="DCE6F1" w:val="clear"/>
            <w:tcMar>
              <w:top w:type="dxa" w:w="60"/>
              <w:left w:type="dxa" w:w="90"/>
              <w:bottom w:type="dxa" w:w="60"/>
              <w:right w:type="dxa" w:w="90"/>
            </w:tcMar>
          </w:tcPr>
          <w:p>
            <w:pPr>
              <w:jc w:val="center"/>
            </w:pPr>
            <w:r>
              <w:rPr>
                <w:sz w:val="18"/>
                <w:szCs w:val="18"/>
              </w:rPr>
              <w:t xml:space="preserve">2006</w:t>
            </w:r>
          </w:p>
        </w:tc>
        <w:tc>
          <w:tcPr>
            <w:tcW w:type="dxa" w:w="2100"/>
            <w:shd w:fill="DCE6F1" w:val="clear"/>
            <w:tcMar>
              <w:top w:type="dxa" w:w="60"/>
              <w:left w:type="dxa" w:w="90"/>
              <w:bottom w:type="dxa" w:w="60"/>
              <w:right w:type="dxa" w:w="90"/>
            </w:tcMar>
          </w:tcPr>
          <w:p>
            <w:r>
              <w:rPr>
                <w:sz w:val="18"/>
                <w:szCs w:val="18"/>
              </w:rPr>
              <w:t xml:space="preserve">Economics Letters, 91</w:t>
            </w:r>
          </w:p>
        </w:tc>
        <w:tc>
          <w:tcPr>
            <w:tcW w:type="dxa" w:w="1400"/>
            <w:shd w:fill="DCE6F1" w:val="clear"/>
            <w:tcMar>
              <w:top w:type="dxa" w:w="60"/>
              <w:left w:type="dxa" w:w="90"/>
              <w:bottom w:type="dxa" w:w="60"/>
              <w:right w:type="dxa" w:w="90"/>
            </w:tcMar>
          </w:tcPr>
          <w:p>
            <w:pPr>
              <w:jc w:val="center"/>
            </w:pPr>
            <w:r>
              <w:rPr>
                <w:sz w:val="18"/>
                <w:szCs w:val="18"/>
              </w:rPr>
              <w:t xml:space="preserve">Yes</w:t>
            </w:r>
          </w:p>
        </w:tc>
        <w:tc>
          <w:tcPr>
            <w:tcW w:type="dxa" w:w="900"/>
            <w:shd w:fill="DCE6F1" w:val="clear"/>
            <w:tcMar>
              <w:top w:type="dxa" w:w="60"/>
              <w:left w:type="dxa" w:w="90"/>
              <w:bottom w:type="dxa" w:w="60"/>
              <w:right w:type="dxa" w:w="90"/>
            </w:tcMar>
          </w:tcPr>
          <w:p>
            <w:pPr>
              <w:jc w:val="center"/>
            </w:pPr>
            <w:r>
              <w:rPr>
                <w:sz w:val="18"/>
                <w:szCs w:val="18"/>
              </w:rPr>
              <w:t xml:space="preserve">~450 (GS)</w:t>
            </w:r>
          </w:p>
        </w:tc>
      </w:tr>
      <w:tr>
        <w:tc>
          <w:tcPr>
            <w:tcW w:type="dxa" w:w="520"/>
            <w:shd w:fill="FFFFFF" w:val="clear"/>
            <w:tcMar>
              <w:top w:type="dxa" w:w="60"/>
              <w:left w:type="dxa" w:w="90"/>
              <w:bottom w:type="dxa" w:w="60"/>
              <w:right w:type="dxa" w:w="90"/>
            </w:tcMar>
          </w:tcPr>
          <w:p>
            <w:pPr>
              <w:jc w:val="center"/>
            </w:pPr>
            <w:r>
              <w:rPr>
                <w:sz w:val="18"/>
                <w:szCs w:val="18"/>
              </w:rPr>
              <w:t xml:space="preserve">4</w:t>
            </w:r>
          </w:p>
        </w:tc>
        <w:tc>
          <w:tcPr>
            <w:tcW w:type="dxa" w:w="3400"/>
            <w:shd w:fill="FFFFFF" w:val="clear"/>
            <w:tcMar>
              <w:top w:type="dxa" w:w="60"/>
              <w:left w:type="dxa" w:w="90"/>
              <w:bottom w:type="dxa" w:w="60"/>
              <w:right w:type="dxa" w:w="90"/>
            </w:tcMar>
          </w:tcPr>
          <w:p>
            <w:r>
              <w:rPr>
                <w:sz w:val="18"/>
                <w:szCs w:val="18"/>
              </w:rPr>
              <w:t xml:space="preserve">Robin Hanson — Combinatorial Information Market Design / Logarithmic Mark…</w:t>
            </w:r>
          </w:p>
        </w:tc>
        <w:tc>
          <w:tcPr>
            <w:tcW w:type="dxa" w:w="1050"/>
            <w:shd w:fill="FFFFFF" w:val="clear"/>
            <w:tcMar>
              <w:top w:type="dxa" w:w="60"/>
              <w:left w:type="dxa" w:w="90"/>
              <w:bottom w:type="dxa" w:w="60"/>
              <w:right w:type="dxa" w:w="90"/>
            </w:tcMar>
          </w:tcPr>
          <w:p>
            <w:pPr>
              <w:jc w:val="center"/>
            </w:pPr>
            <w:r>
              <w:rPr>
                <w:sz w:val="18"/>
                <w:szCs w:val="18"/>
              </w:rPr>
              <w:t xml:space="preserve">2003 / 2007</w:t>
            </w:r>
          </w:p>
        </w:tc>
        <w:tc>
          <w:tcPr>
            <w:tcW w:type="dxa" w:w="2100"/>
            <w:shd w:fill="FFFFFF" w:val="clear"/>
            <w:tcMar>
              <w:top w:type="dxa" w:w="60"/>
              <w:left w:type="dxa" w:w="90"/>
              <w:bottom w:type="dxa" w:w="60"/>
              <w:right w:type="dxa" w:w="90"/>
            </w:tcMar>
          </w:tcPr>
          <w:p>
            <w:r>
              <w:rPr>
                <w:sz w:val="18"/>
                <w:szCs w:val="18"/>
              </w:rPr>
              <w:t xml:space="preserve">Information Systems Frontiers 5</w:t>
            </w:r>
          </w:p>
        </w:tc>
        <w:tc>
          <w:tcPr>
            <w:tcW w:type="dxa" w:w="1400"/>
            <w:shd w:fill="FFFFFF" w:val="clear"/>
            <w:tcMar>
              <w:top w:type="dxa" w:w="60"/>
              <w:left w:type="dxa" w:w="90"/>
              <w:bottom w:type="dxa" w:w="60"/>
              <w:right w:type="dxa" w:w="90"/>
            </w:tcMar>
          </w:tcPr>
          <w:p>
            <w:pPr>
              <w:jc w:val="center"/>
            </w:pPr>
            <w:r>
              <w:rPr>
                <w:sz w:val="18"/>
                <w:szCs w:val="18"/>
              </w:rPr>
              <w:t xml:space="preserve">Yes</w:t>
            </w:r>
          </w:p>
        </w:tc>
        <w:tc>
          <w:tcPr>
            <w:tcW w:type="dxa" w:w="900"/>
            <w:shd w:fill="FFFFFF" w:val="clear"/>
            <w:tcMar>
              <w:top w:type="dxa" w:w="60"/>
              <w:left w:type="dxa" w:w="90"/>
              <w:bottom w:type="dxa" w:w="60"/>
              <w:right w:type="dxa" w:w="90"/>
            </w:tcMar>
          </w:tcPr>
          <w:p>
            <w:pPr>
              <w:jc w:val="center"/>
            </w:pPr>
            <w:r>
              <w:rPr>
                <w:sz w:val="18"/>
                <w:szCs w:val="18"/>
              </w:rPr>
              <w:t xml:space="preserve">~1,300 (GS)</w:t>
            </w:r>
          </w:p>
        </w:tc>
      </w:tr>
      <w:tr>
        <w:tc>
          <w:tcPr>
            <w:tcW w:type="dxa" w:w="520"/>
            <w:shd w:fill="DCE6F1" w:val="clear"/>
            <w:tcMar>
              <w:top w:type="dxa" w:w="60"/>
              <w:left w:type="dxa" w:w="90"/>
              <w:bottom w:type="dxa" w:w="60"/>
              <w:right w:type="dxa" w:w="90"/>
            </w:tcMar>
          </w:tcPr>
          <w:p>
            <w:pPr>
              <w:jc w:val="center"/>
            </w:pPr>
            <w:r>
              <w:rPr>
                <w:sz w:val="18"/>
                <w:szCs w:val="18"/>
              </w:rPr>
              <w:t xml:space="preserve">5</w:t>
            </w:r>
          </w:p>
        </w:tc>
        <w:tc>
          <w:tcPr>
            <w:tcW w:type="dxa" w:w="3400"/>
            <w:shd w:fill="DCE6F1" w:val="clear"/>
            <w:tcMar>
              <w:top w:type="dxa" w:w="60"/>
              <w:left w:type="dxa" w:w="90"/>
              <w:bottom w:type="dxa" w:w="60"/>
              <w:right w:type="dxa" w:w="90"/>
            </w:tcMar>
          </w:tcPr>
          <w:p>
            <w:r>
              <w:rPr>
                <w:sz w:val="18"/>
                <w:szCs w:val="18"/>
              </w:rPr>
              <w:t xml:space="preserve">Joyce Berg et al. — Prediction Market Accuracy in the Long Run</w:t>
            </w:r>
          </w:p>
        </w:tc>
        <w:tc>
          <w:tcPr>
            <w:tcW w:type="dxa" w:w="1050"/>
            <w:shd w:fill="DCE6F1" w:val="clear"/>
            <w:tcMar>
              <w:top w:type="dxa" w:w="60"/>
              <w:left w:type="dxa" w:w="90"/>
              <w:bottom w:type="dxa" w:w="60"/>
              <w:right w:type="dxa" w:w="90"/>
            </w:tcMar>
          </w:tcPr>
          <w:p>
            <w:pPr>
              <w:jc w:val="center"/>
            </w:pPr>
            <w:r>
              <w:rPr>
                <w:sz w:val="18"/>
                <w:szCs w:val="18"/>
              </w:rPr>
              <w:t xml:space="preserve">2008</w:t>
            </w:r>
          </w:p>
        </w:tc>
        <w:tc>
          <w:tcPr>
            <w:tcW w:type="dxa" w:w="2100"/>
            <w:shd w:fill="DCE6F1" w:val="clear"/>
            <w:tcMar>
              <w:top w:type="dxa" w:w="60"/>
              <w:left w:type="dxa" w:w="90"/>
              <w:bottom w:type="dxa" w:w="60"/>
              <w:right w:type="dxa" w:w="90"/>
            </w:tcMar>
          </w:tcPr>
          <w:p>
            <w:r>
              <w:rPr>
                <w:sz w:val="18"/>
                <w:szCs w:val="18"/>
              </w:rPr>
              <w:t xml:space="preserve">International Journal of Forecasti</w:t>
            </w:r>
          </w:p>
        </w:tc>
        <w:tc>
          <w:tcPr>
            <w:tcW w:type="dxa" w:w="1400"/>
            <w:shd w:fill="DCE6F1" w:val="clear"/>
            <w:tcMar>
              <w:top w:type="dxa" w:w="60"/>
              <w:left w:type="dxa" w:w="90"/>
              <w:bottom w:type="dxa" w:w="60"/>
              <w:right w:type="dxa" w:w="90"/>
            </w:tcMar>
          </w:tcPr>
          <w:p>
            <w:pPr>
              <w:jc w:val="center"/>
            </w:pPr>
            <w:r>
              <w:rPr>
                <w:sz w:val="18"/>
                <w:szCs w:val="18"/>
              </w:rPr>
              <w:t xml:space="preserve">Yes</w:t>
            </w:r>
          </w:p>
        </w:tc>
        <w:tc>
          <w:tcPr>
            <w:tcW w:type="dxa" w:w="900"/>
            <w:shd w:fill="DCE6F1" w:val="clear"/>
            <w:tcMar>
              <w:top w:type="dxa" w:w="60"/>
              <w:left w:type="dxa" w:w="90"/>
              <w:bottom w:type="dxa" w:w="60"/>
              <w:right w:type="dxa" w:w="90"/>
            </w:tcMar>
          </w:tcPr>
          <w:p>
            <w:pPr>
              <w:jc w:val="center"/>
            </w:pPr>
            <w:r>
              <w:rPr>
                <w:sz w:val="18"/>
                <w:szCs w:val="18"/>
              </w:rPr>
              <w:t xml:space="preserve">~500 (GS)</w:t>
            </w:r>
          </w:p>
        </w:tc>
      </w:tr>
      <w:tr>
        <w:tc>
          <w:tcPr>
            <w:tcW w:type="dxa" w:w="520"/>
            <w:shd w:fill="FFFFFF" w:val="clear"/>
            <w:tcMar>
              <w:top w:type="dxa" w:w="60"/>
              <w:left w:type="dxa" w:w="90"/>
              <w:bottom w:type="dxa" w:w="60"/>
              <w:right w:type="dxa" w:w="90"/>
            </w:tcMar>
          </w:tcPr>
          <w:p>
            <w:pPr>
              <w:jc w:val="center"/>
            </w:pPr>
            <w:r>
              <w:rPr>
                <w:sz w:val="18"/>
                <w:szCs w:val="18"/>
              </w:rPr>
              <w:t xml:space="preserve">6</w:t>
            </w:r>
          </w:p>
        </w:tc>
        <w:tc>
          <w:tcPr>
            <w:tcW w:type="dxa" w:w="3400"/>
            <w:shd w:fill="FFFFFF" w:val="clear"/>
            <w:tcMar>
              <w:top w:type="dxa" w:w="60"/>
              <w:left w:type="dxa" w:w="90"/>
              <w:bottom w:type="dxa" w:w="60"/>
              <w:right w:type="dxa" w:w="90"/>
            </w:tcMar>
          </w:tcPr>
          <w:p>
            <w:r>
              <w:rPr>
                <w:sz w:val="18"/>
                <w:szCs w:val="18"/>
              </w:rPr>
              <w:t xml:space="preserve">Lionel Page et al. — Do Prediction Markets Produce Well-Calibrated Probability …</w:t>
            </w:r>
          </w:p>
        </w:tc>
        <w:tc>
          <w:tcPr>
            <w:tcW w:type="dxa" w:w="1050"/>
            <w:shd w:fill="FFFFFF" w:val="clear"/>
            <w:tcMar>
              <w:top w:type="dxa" w:w="60"/>
              <w:left w:type="dxa" w:w="90"/>
              <w:bottom w:type="dxa" w:w="60"/>
              <w:right w:type="dxa" w:w="90"/>
            </w:tcMar>
          </w:tcPr>
          <w:p>
            <w:pPr>
              <w:jc w:val="center"/>
            </w:pPr>
            <w:r>
              <w:rPr>
                <w:sz w:val="18"/>
                <w:szCs w:val="18"/>
              </w:rPr>
              <w:t xml:space="preserve">2013</w:t>
            </w:r>
          </w:p>
        </w:tc>
        <w:tc>
          <w:tcPr>
            <w:tcW w:type="dxa" w:w="2100"/>
            <w:shd w:fill="FFFFFF" w:val="clear"/>
            <w:tcMar>
              <w:top w:type="dxa" w:w="60"/>
              <w:left w:type="dxa" w:w="90"/>
              <w:bottom w:type="dxa" w:w="60"/>
              <w:right w:type="dxa" w:w="90"/>
            </w:tcMar>
          </w:tcPr>
          <w:p>
            <w:r>
              <w:rPr>
                <w:sz w:val="18"/>
                <w:szCs w:val="18"/>
              </w:rPr>
              <w:t xml:space="preserve">The Economic Journal, 123</w:t>
            </w:r>
          </w:p>
        </w:tc>
        <w:tc>
          <w:tcPr>
            <w:tcW w:type="dxa" w:w="1400"/>
            <w:shd w:fill="FFFFFF" w:val="clear"/>
            <w:tcMar>
              <w:top w:type="dxa" w:w="60"/>
              <w:left w:type="dxa" w:w="90"/>
              <w:bottom w:type="dxa" w:w="60"/>
              <w:right w:type="dxa" w:w="90"/>
            </w:tcMar>
          </w:tcPr>
          <w:p>
            <w:pPr>
              <w:jc w:val="center"/>
            </w:pPr>
            <w:r>
              <w:rPr>
                <w:sz w:val="18"/>
                <w:szCs w:val="18"/>
              </w:rPr>
              <w:t xml:space="preserve">Yes</w:t>
            </w:r>
          </w:p>
        </w:tc>
        <w:tc>
          <w:tcPr>
            <w:tcW w:type="dxa" w:w="900"/>
            <w:shd w:fill="FFFFFF" w:val="clear"/>
            <w:tcMar>
              <w:top w:type="dxa" w:w="60"/>
              <w:left w:type="dxa" w:w="90"/>
              <w:bottom w:type="dxa" w:w="60"/>
              <w:right w:type="dxa" w:w="90"/>
            </w:tcMar>
          </w:tcPr>
          <w:p>
            <w:pPr>
              <w:jc w:val="center"/>
            </w:pPr>
            <w:r>
              <w:rPr>
                <w:sz w:val="18"/>
                <w:szCs w:val="18"/>
              </w:rPr>
              <w:t xml:space="preserve">~200 (GS)</w:t>
            </w:r>
          </w:p>
        </w:tc>
      </w:tr>
      <w:tr>
        <w:tc>
          <w:tcPr>
            <w:tcW w:type="dxa" w:w="520"/>
            <w:shd w:fill="DCE6F1" w:val="clear"/>
            <w:tcMar>
              <w:top w:type="dxa" w:w="60"/>
              <w:left w:type="dxa" w:w="90"/>
              <w:bottom w:type="dxa" w:w="60"/>
              <w:right w:type="dxa" w:w="90"/>
            </w:tcMar>
          </w:tcPr>
          <w:p>
            <w:pPr>
              <w:jc w:val="center"/>
            </w:pPr>
            <w:r>
              <w:rPr>
                <w:sz w:val="18"/>
                <w:szCs w:val="18"/>
              </w:rPr>
              <w:t xml:space="preserve">7</w:t>
            </w:r>
          </w:p>
        </w:tc>
        <w:tc>
          <w:tcPr>
            <w:tcW w:type="dxa" w:w="3400"/>
            <w:shd w:fill="DCE6F1" w:val="clear"/>
            <w:tcMar>
              <w:top w:type="dxa" w:w="60"/>
              <w:left w:type="dxa" w:w="90"/>
              <w:bottom w:type="dxa" w:w="60"/>
              <w:right w:type="dxa" w:w="90"/>
            </w:tcMar>
          </w:tcPr>
          <w:p>
            <w:r>
              <w:rPr>
                <w:sz w:val="18"/>
                <w:szCs w:val="18"/>
              </w:rPr>
              <w:t xml:space="preserve">Lukas Nel — Do LLMs Know What They Don't Know? KalshiBench: Evaluating…</w:t>
            </w:r>
          </w:p>
        </w:tc>
        <w:tc>
          <w:tcPr>
            <w:tcW w:type="dxa" w:w="1050"/>
            <w:shd w:fill="DCE6F1" w:val="clear"/>
            <w:tcMar>
              <w:top w:type="dxa" w:w="60"/>
              <w:left w:type="dxa" w:w="90"/>
              <w:bottom w:type="dxa" w:w="60"/>
              <w:right w:type="dxa" w:w="90"/>
            </w:tcMar>
          </w:tcPr>
          <w:p>
            <w:pPr>
              <w:jc w:val="center"/>
            </w:pPr>
            <w:r>
              <w:rPr>
                <w:sz w:val="18"/>
                <w:szCs w:val="18"/>
              </w:rPr>
              <w:t xml:space="preserve">2025</w:t>
            </w:r>
          </w:p>
        </w:tc>
        <w:tc>
          <w:tcPr>
            <w:tcW w:type="dxa" w:w="2100"/>
            <w:shd w:fill="DCE6F1" w:val="clear"/>
            <w:tcMar>
              <w:top w:type="dxa" w:w="60"/>
              <w:left w:type="dxa" w:w="90"/>
              <w:bottom w:type="dxa" w:w="60"/>
              <w:right w:type="dxa" w:w="90"/>
            </w:tcMar>
          </w:tcPr>
          <w:p>
            <w:r>
              <w:rPr>
                <w:sz w:val="18"/>
                <w:szCs w:val="18"/>
              </w:rPr>
              <w:t xml:space="preserve">arXiv:2512.16030</w:t>
            </w:r>
          </w:p>
        </w:tc>
        <w:tc>
          <w:tcPr>
            <w:tcW w:type="dxa" w:w="1400"/>
            <w:shd w:fill="DCE6F1" w:val="clear"/>
            <w:tcMar>
              <w:top w:type="dxa" w:w="60"/>
              <w:left w:type="dxa" w:w="90"/>
              <w:bottom w:type="dxa" w:w="60"/>
              <w:right w:type="dxa" w:w="90"/>
            </w:tcMar>
          </w:tcPr>
          <w:p>
            <w:pPr>
              <w:jc w:val="center"/>
            </w:pPr>
            <w:r>
              <w:rPr>
                <w:sz w:val="18"/>
                <w:szCs w:val="18"/>
              </w:rPr>
              <w:t xml:space="preserve">No</w:t>
            </w:r>
          </w:p>
        </w:tc>
        <w:tc>
          <w:tcPr>
            <w:tcW w:type="dxa" w:w="900"/>
            <w:shd w:fill="DCE6F1" w:val="clear"/>
            <w:tcMar>
              <w:top w:type="dxa" w:w="60"/>
              <w:left w:type="dxa" w:w="90"/>
              <w:bottom w:type="dxa" w:w="60"/>
              <w:right w:type="dxa" w:w="90"/>
            </w:tcMar>
          </w:tcPr>
          <w:p>
            <w:pPr>
              <w:jc w:val="center"/>
            </w:pPr>
            <w:r>
              <w:rPr>
                <w:sz w:val="18"/>
                <w:szCs w:val="18"/>
              </w:rPr>
              <w:t xml:space="preserve">New (n/a)</w:t>
            </w:r>
          </w:p>
        </w:tc>
      </w:tr>
      <w:tr>
        <w:tc>
          <w:tcPr>
            <w:tcW w:type="dxa" w:w="520"/>
            <w:shd w:fill="FFFFFF" w:val="clear"/>
            <w:tcMar>
              <w:top w:type="dxa" w:w="60"/>
              <w:left w:type="dxa" w:w="90"/>
              <w:bottom w:type="dxa" w:w="60"/>
              <w:right w:type="dxa" w:w="90"/>
            </w:tcMar>
          </w:tcPr>
          <w:p>
            <w:pPr>
              <w:jc w:val="center"/>
            </w:pPr>
            <w:r>
              <w:rPr>
                <w:sz w:val="18"/>
                <w:szCs w:val="18"/>
              </w:rPr>
              <w:t xml:space="preserve">8</w:t>
            </w:r>
          </w:p>
        </w:tc>
        <w:tc>
          <w:tcPr>
            <w:tcW w:type="dxa" w:w="3400"/>
            <w:shd w:fill="FFFFFF" w:val="clear"/>
            <w:tcMar>
              <w:top w:type="dxa" w:w="60"/>
              <w:left w:type="dxa" w:w="90"/>
              <w:bottom w:type="dxa" w:w="60"/>
              <w:right w:type="dxa" w:w="90"/>
            </w:tcMar>
          </w:tcPr>
          <w:p>
            <w:r>
              <w:rPr>
                <w:sz w:val="18"/>
                <w:szCs w:val="18"/>
              </w:rPr>
              <w:t xml:space="preserve">Erik Snowberg et al. — Explaining the Favorite-Longshot Bias: Is it Risk-Love or …</w:t>
            </w:r>
          </w:p>
        </w:tc>
        <w:tc>
          <w:tcPr>
            <w:tcW w:type="dxa" w:w="1050"/>
            <w:shd w:fill="FFFFFF" w:val="clear"/>
            <w:tcMar>
              <w:top w:type="dxa" w:w="60"/>
              <w:left w:type="dxa" w:w="90"/>
              <w:bottom w:type="dxa" w:w="60"/>
              <w:right w:type="dxa" w:w="90"/>
            </w:tcMar>
          </w:tcPr>
          <w:p>
            <w:pPr>
              <w:jc w:val="center"/>
            </w:pPr>
            <w:r>
              <w:rPr>
                <w:sz w:val="18"/>
                <w:szCs w:val="18"/>
              </w:rPr>
              <w:t xml:space="preserve">2010</w:t>
            </w:r>
          </w:p>
        </w:tc>
        <w:tc>
          <w:tcPr>
            <w:tcW w:type="dxa" w:w="2100"/>
            <w:shd w:fill="FFFFFF" w:val="clear"/>
            <w:tcMar>
              <w:top w:type="dxa" w:w="60"/>
              <w:left w:type="dxa" w:w="90"/>
              <w:bottom w:type="dxa" w:w="60"/>
              <w:right w:type="dxa" w:w="90"/>
            </w:tcMar>
          </w:tcPr>
          <w:p>
            <w:r>
              <w:rPr>
                <w:sz w:val="18"/>
                <w:szCs w:val="18"/>
              </w:rPr>
              <w:t xml:space="preserve">Journal of Political Economy, 118</w:t>
            </w:r>
          </w:p>
        </w:tc>
        <w:tc>
          <w:tcPr>
            <w:tcW w:type="dxa" w:w="1400"/>
            <w:shd w:fill="FFFFFF" w:val="clear"/>
            <w:tcMar>
              <w:top w:type="dxa" w:w="60"/>
              <w:left w:type="dxa" w:w="90"/>
              <w:bottom w:type="dxa" w:w="60"/>
              <w:right w:type="dxa" w:w="90"/>
            </w:tcMar>
          </w:tcPr>
          <w:p>
            <w:pPr>
              <w:jc w:val="center"/>
            </w:pPr>
            <w:r>
              <w:rPr>
                <w:sz w:val="18"/>
                <w:szCs w:val="18"/>
              </w:rPr>
              <w:t xml:space="preserve">Yes</w:t>
            </w:r>
          </w:p>
        </w:tc>
        <w:tc>
          <w:tcPr>
            <w:tcW w:type="dxa" w:w="900"/>
            <w:shd w:fill="FFFFFF" w:val="clear"/>
            <w:tcMar>
              <w:top w:type="dxa" w:w="60"/>
              <w:left w:type="dxa" w:w="90"/>
              <w:bottom w:type="dxa" w:w="60"/>
              <w:right w:type="dxa" w:w="90"/>
            </w:tcMar>
          </w:tcPr>
          <w:p>
            <w:pPr>
              <w:jc w:val="center"/>
            </w:pPr>
            <w:r>
              <w:rPr>
                <w:sz w:val="18"/>
                <w:szCs w:val="18"/>
              </w:rPr>
              <w:t xml:space="preserve">~450 (GS)</w:t>
            </w:r>
          </w:p>
        </w:tc>
      </w:tr>
      <w:tr>
        <w:tc>
          <w:tcPr>
            <w:tcW w:type="dxa" w:w="520"/>
            <w:shd w:fill="DCE6F1" w:val="clear"/>
            <w:tcMar>
              <w:top w:type="dxa" w:w="60"/>
              <w:left w:type="dxa" w:w="90"/>
              <w:bottom w:type="dxa" w:w="60"/>
              <w:right w:type="dxa" w:w="90"/>
            </w:tcMar>
          </w:tcPr>
          <w:p>
            <w:pPr>
              <w:jc w:val="center"/>
            </w:pPr>
            <w:r>
              <w:rPr>
                <w:sz w:val="18"/>
                <w:szCs w:val="18"/>
              </w:rPr>
              <w:t xml:space="preserve">9</w:t>
            </w:r>
          </w:p>
        </w:tc>
        <w:tc>
          <w:tcPr>
            <w:tcW w:type="dxa" w:w="3400"/>
            <w:shd w:fill="DCE6F1" w:val="clear"/>
            <w:tcMar>
              <w:top w:type="dxa" w:w="60"/>
              <w:left w:type="dxa" w:w="90"/>
              <w:bottom w:type="dxa" w:w="60"/>
              <w:right w:type="dxa" w:w="90"/>
            </w:tcMar>
          </w:tcPr>
          <w:p>
            <w:r>
              <w:rPr>
                <w:sz w:val="18"/>
                <w:szCs w:val="18"/>
              </w:rPr>
              <w:t xml:space="preserve">Jonas Gebele et al. — Semantic Non-Fungibility and Violations of the Law of One …</w:t>
            </w:r>
          </w:p>
        </w:tc>
        <w:tc>
          <w:tcPr>
            <w:tcW w:type="dxa" w:w="1050"/>
            <w:shd w:fill="DCE6F1" w:val="clear"/>
            <w:tcMar>
              <w:top w:type="dxa" w:w="60"/>
              <w:left w:type="dxa" w:w="90"/>
              <w:bottom w:type="dxa" w:w="60"/>
              <w:right w:type="dxa" w:w="90"/>
            </w:tcMar>
          </w:tcPr>
          <w:p>
            <w:pPr>
              <w:jc w:val="center"/>
            </w:pPr>
            <w:r>
              <w:rPr>
                <w:sz w:val="18"/>
                <w:szCs w:val="18"/>
              </w:rPr>
              <w:t xml:space="preserve">2026</w:t>
            </w:r>
          </w:p>
        </w:tc>
        <w:tc>
          <w:tcPr>
            <w:tcW w:type="dxa" w:w="2100"/>
            <w:shd w:fill="DCE6F1" w:val="clear"/>
            <w:tcMar>
              <w:top w:type="dxa" w:w="60"/>
              <w:left w:type="dxa" w:w="90"/>
              <w:bottom w:type="dxa" w:w="60"/>
              <w:right w:type="dxa" w:w="90"/>
            </w:tcMar>
          </w:tcPr>
          <w:p>
            <w:r>
              <w:rPr>
                <w:sz w:val="18"/>
                <w:szCs w:val="18"/>
              </w:rPr>
              <w:t xml:space="preserve">arXiv:2601.01706</w:t>
            </w:r>
          </w:p>
        </w:tc>
        <w:tc>
          <w:tcPr>
            <w:tcW w:type="dxa" w:w="1400"/>
            <w:shd w:fill="DCE6F1" w:val="clear"/>
            <w:tcMar>
              <w:top w:type="dxa" w:w="60"/>
              <w:left w:type="dxa" w:w="90"/>
              <w:bottom w:type="dxa" w:w="60"/>
              <w:right w:type="dxa" w:w="90"/>
            </w:tcMar>
          </w:tcPr>
          <w:p>
            <w:pPr>
              <w:jc w:val="center"/>
            </w:pPr>
            <w:r>
              <w:rPr>
                <w:sz w:val="18"/>
                <w:szCs w:val="18"/>
              </w:rPr>
              <w:t xml:space="preserve">No</w:t>
            </w:r>
          </w:p>
        </w:tc>
        <w:tc>
          <w:tcPr>
            <w:tcW w:type="dxa" w:w="900"/>
            <w:shd w:fill="DCE6F1" w:val="clear"/>
            <w:tcMar>
              <w:top w:type="dxa" w:w="60"/>
              <w:left w:type="dxa" w:w="90"/>
              <w:bottom w:type="dxa" w:w="60"/>
              <w:right w:type="dxa" w:w="90"/>
            </w:tcMar>
          </w:tcPr>
          <w:p>
            <w:pPr>
              <w:jc w:val="center"/>
            </w:pPr>
            <w:r>
              <w:rPr>
                <w:sz w:val="18"/>
                <w:szCs w:val="18"/>
              </w:rPr>
              <w:t xml:space="preserve">New (n/a)</w:t>
            </w:r>
          </w:p>
        </w:tc>
      </w:tr>
      <w:tr>
        <w:tc>
          <w:tcPr>
            <w:tcW w:type="dxa" w:w="520"/>
            <w:shd w:fill="FFFFFF" w:val="clear"/>
            <w:tcMar>
              <w:top w:type="dxa" w:w="60"/>
              <w:left w:type="dxa" w:w="90"/>
              <w:bottom w:type="dxa" w:w="60"/>
              <w:right w:type="dxa" w:w="90"/>
            </w:tcMar>
          </w:tcPr>
          <w:p>
            <w:pPr>
              <w:jc w:val="center"/>
            </w:pPr>
            <w:r>
              <w:rPr>
                <w:sz w:val="18"/>
                <w:szCs w:val="18"/>
              </w:rPr>
              <w:t xml:space="preserve">10</w:t>
            </w:r>
          </w:p>
        </w:tc>
        <w:tc>
          <w:tcPr>
            <w:tcW w:type="dxa" w:w="3400"/>
            <w:shd w:fill="FFFFFF" w:val="clear"/>
            <w:tcMar>
              <w:top w:type="dxa" w:w="60"/>
              <w:left w:type="dxa" w:w="90"/>
              <w:bottom w:type="dxa" w:w="60"/>
              <w:right w:type="dxa" w:w="90"/>
            </w:tcMar>
          </w:tcPr>
          <w:p>
            <w:r>
              <w:rPr>
                <w:sz w:val="18"/>
                <w:szCs w:val="18"/>
              </w:rPr>
              <w:t xml:space="preserve">Giovanni Angelini et al. — When Do Markets Fully Process Public Information? Evidence…</w:t>
            </w:r>
          </w:p>
        </w:tc>
        <w:tc>
          <w:tcPr>
            <w:tcW w:type="dxa" w:w="1050"/>
            <w:shd w:fill="FFFFFF" w:val="clear"/>
            <w:tcMar>
              <w:top w:type="dxa" w:w="60"/>
              <w:left w:type="dxa" w:w="90"/>
              <w:bottom w:type="dxa" w:w="60"/>
              <w:right w:type="dxa" w:w="90"/>
            </w:tcMar>
          </w:tcPr>
          <w:p>
            <w:pPr>
              <w:jc w:val="center"/>
            </w:pPr>
            <w:r>
              <w:rPr>
                <w:sz w:val="18"/>
                <w:szCs w:val="18"/>
              </w:rPr>
              <w:t xml:space="preserve">2026</w:t>
            </w:r>
          </w:p>
        </w:tc>
        <w:tc>
          <w:tcPr>
            <w:tcW w:type="dxa" w:w="2100"/>
            <w:shd w:fill="FFFFFF" w:val="clear"/>
            <w:tcMar>
              <w:top w:type="dxa" w:w="60"/>
              <w:left w:type="dxa" w:w="90"/>
              <w:bottom w:type="dxa" w:w="60"/>
              <w:right w:type="dxa" w:w="90"/>
            </w:tcMar>
          </w:tcPr>
          <w:p>
            <w:r>
              <w:rPr>
                <w:sz w:val="18"/>
                <w:szCs w:val="18"/>
              </w:rPr>
              <w:t xml:space="preserve">arXiv:2606.07811</w:t>
            </w:r>
          </w:p>
        </w:tc>
        <w:tc>
          <w:tcPr>
            <w:tcW w:type="dxa" w:w="1400"/>
            <w:shd w:fill="FFFFFF" w:val="clear"/>
            <w:tcMar>
              <w:top w:type="dxa" w:w="60"/>
              <w:left w:type="dxa" w:w="90"/>
              <w:bottom w:type="dxa" w:w="60"/>
              <w:right w:type="dxa" w:w="90"/>
            </w:tcMar>
          </w:tcPr>
          <w:p>
            <w:pPr>
              <w:jc w:val="center"/>
            </w:pPr>
            <w:r>
              <w:rPr>
                <w:sz w:val="18"/>
                <w:szCs w:val="18"/>
              </w:rPr>
              <w:t xml:space="preserve">No</w:t>
            </w:r>
          </w:p>
        </w:tc>
        <w:tc>
          <w:tcPr>
            <w:tcW w:type="dxa" w:w="900"/>
            <w:shd w:fill="FFFFFF" w:val="clear"/>
            <w:tcMar>
              <w:top w:type="dxa" w:w="60"/>
              <w:left w:type="dxa" w:w="90"/>
              <w:bottom w:type="dxa" w:w="60"/>
              <w:right w:type="dxa" w:w="90"/>
            </w:tcMar>
          </w:tcPr>
          <w:p>
            <w:pPr>
              <w:jc w:val="center"/>
            </w:pPr>
            <w:r>
              <w:rPr>
                <w:sz w:val="18"/>
                <w:szCs w:val="18"/>
              </w:rPr>
              <w:t xml:space="preserve">New (n/a)</w:t>
            </w:r>
          </w:p>
        </w:tc>
      </w:tr>
      <w:tr>
        <w:tc>
          <w:tcPr>
            <w:tcW w:type="dxa" w:w="520"/>
            <w:shd w:fill="DCE6F1" w:val="clear"/>
            <w:tcMar>
              <w:top w:type="dxa" w:w="60"/>
              <w:left w:type="dxa" w:w="90"/>
              <w:bottom w:type="dxa" w:w="60"/>
              <w:right w:type="dxa" w:w="90"/>
            </w:tcMar>
          </w:tcPr>
          <w:p>
            <w:pPr>
              <w:jc w:val="center"/>
            </w:pPr>
            <w:r>
              <w:rPr>
                <w:sz w:val="18"/>
                <w:szCs w:val="18"/>
              </w:rPr>
              <w:t xml:space="preserve">11</w:t>
            </w:r>
          </w:p>
        </w:tc>
        <w:tc>
          <w:tcPr>
            <w:tcW w:type="dxa" w:w="3400"/>
            <w:shd w:fill="DCE6F1" w:val="clear"/>
            <w:tcMar>
              <w:top w:type="dxa" w:w="60"/>
              <w:left w:type="dxa" w:w="90"/>
              <w:bottom w:type="dxa" w:w="60"/>
              <w:right w:type="dxa" w:w="90"/>
            </w:tcMar>
          </w:tcPr>
          <w:p>
            <w:r>
              <w:rPr>
                <w:sz w:val="18"/>
                <w:szCs w:val="18"/>
              </w:rPr>
              <w:t xml:space="preserve">Constantin Bürgi et al. — Makers and Takers: The Economics of the Kalshi Prediction …</w:t>
            </w:r>
          </w:p>
        </w:tc>
        <w:tc>
          <w:tcPr>
            <w:tcW w:type="dxa" w:w="1050"/>
            <w:shd w:fill="DCE6F1" w:val="clear"/>
            <w:tcMar>
              <w:top w:type="dxa" w:w="60"/>
              <w:left w:type="dxa" w:w="90"/>
              <w:bottom w:type="dxa" w:w="60"/>
              <w:right w:type="dxa" w:w="90"/>
            </w:tcMar>
          </w:tcPr>
          <w:p>
            <w:pPr>
              <w:jc w:val="center"/>
            </w:pPr>
            <w:r>
              <w:rPr>
                <w:sz w:val="18"/>
                <w:szCs w:val="18"/>
              </w:rPr>
              <w:t xml:space="preserve">2025</w:t>
            </w:r>
          </w:p>
        </w:tc>
        <w:tc>
          <w:tcPr>
            <w:tcW w:type="dxa" w:w="2100"/>
            <w:shd w:fill="DCE6F1" w:val="clear"/>
            <w:tcMar>
              <w:top w:type="dxa" w:w="60"/>
              <w:left w:type="dxa" w:w="90"/>
              <w:bottom w:type="dxa" w:w="60"/>
              <w:right w:type="dxa" w:w="90"/>
            </w:tcMar>
          </w:tcPr>
          <w:p>
            <w:r>
              <w:rPr>
                <w:sz w:val="18"/>
                <w:szCs w:val="18"/>
              </w:rPr>
              <w:t xml:space="preserve">CESifo Working Paper No. 12122</w:t>
            </w:r>
          </w:p>
        </w:tc>
        <w:tc>
          <w:tcPr>
            <w:tcW w:type="dxa" w:w="1400"/>
            <w:shd w:fill="DCE6F1" w:val="clear"/>
            <w:tcMar>
              <w:top w:type="dxa" w:w="60"/>
              <w:left w:type="dxa" w:w="90"/>
              <w:bottom w:type="dxa" w:w="60"/>
              <w:right w:type="dxa" w:w="90"/>
            </w:tcMar>
          </w:tcPr>
          <w:p>
            <w:pPr>
              <w:jc w:val="center"/>
            </w:pPr>
            <w:r>
              <w:rPr>
                <w:sz w:val="18"/>
                <w:szCs w:val="18"/>
              </w:rPr>
              <w:t xml:space="preserve">No</w:t>
            </w:r>
          </w:p>
        </w:tc>
        <w:tc>
          <w:tcPr>
            <w:tcW w:type="dxa" w:w="900"/>
            <w:shd w:fill="DCE6F1" w:val="clear"/>
            <w:tcMar>
              <w:top w:type="dxa" w:w="60"/>
              <w:left w:type="dxa" w:w="90"/>
              <w:bottom w:type="dxa" w:w="60"/>
              <w:right w:type="dxa" w:w="90"/>
            </w:tcMar>
          </w:tcPr>
          <w:p>
            <w:pPr>
              <w:jc w:val="center"/>
            </w:pPr>
            <w:r>
              <w:rPr>
                <w:sz w:val="18"/>
                <w:szCs w:val="18"/>
              </w:rPr>
              <w:t xml:space="preserve">1 cite; 1,016 downloads</w:t>
            </w:r>
          </w:p>
        </w:tc>
      </w:tr>
      <w:tr>
        <w:tc>
          <w:tcPr>
            <w:tcW w:type="dxa" w:w="520"/>
            <w:shd w:fill="FFFFFF" w:val="clear"/>
            <w:tcMar>
              <w:top w:type="dxa" w:w="60"/>
              <w:left w:type="dxa" w:w="90"/>
              <w:bottom w:type="dxa" w:w="60"/>
              <w:right w:type="dxa" w:w="90"/>
            </w:tcMar>
          </w:tcPr>
          <w:p>
            <w:pPr>
              <w:jc w:val="center"/>
            </w:pPr>
            <w:r>
              <w:rPr>
                <w:sz w:val="18"/>
                <w:szCs w:val="18"/>
              </w:rPr>
              <w:t xml:space="preserve">12</w:t>
            </w:r>
          </w:p>
        </w:tc>
        <w:tc>
          <w:tcPr>
            <w:tcW w:type="dxa" w:w="3400"/>
            <w:shd w:fill="FFFFFF" w:val="clear"/>
            <w:tcMar>
              <w:top w:type="dxa" w:w="60"/>
              <w:left w:type="dxa" w:w="90"/>
              <w:bottom w:type="dxa" w:w="60"/>
              <w:right w:type="dxa" w:w="90"/>
            </w:tcMar>
          </w:tcPr>
          <w:p>
            <w:r>
              <w:rPr>
                <w:sz w:val="18"/>
                <w:szCs w:val="18"/>
              </w:rPr>
              <w:t xml:space="preserve">Hunter Ng et al. — Price Discovery and Trading in Modern Prediction Markets</w:t>
            </w:r>
          </w:p>
        </w:tc>
        <w:tc>
          <w:tcPr>
            <w:tcW w:type="dxa" w:w="1050"/>
            <w:shd w:fill="FFFFFF" w:val="clear"/>
            <w:tcMar>
              <w:top w:type="dxa" w:w="60"/>
              <w:left w:type="dxa" w:w="90"/>
              <w:bottom w:type="dxa" w:w="60"/>
              <w:right w:type="dxa" w:w="90"/>
            </w:tcMar>
          </w:tcPr>
          <w:p>
            <w:pPr>
              <w:jc w:val="center"/>
            </w:pPr>
            <w:r>
              <w:rPr>
                <w:sz w:val="18"/>
                <w:szCs w:val="18"/>
              </w:rPr>
              <w:t xml:space="preserve">2025</w:t>
            </w:r>
          </w:p>
        </w:tc>
        <w:tc>
          <w:tcPr>
            <w:tcW w:type="dxa" w:w="2100"/>
            <w:shd w:fill="FFFFFF" w:val="clear"/>
            <w:tcMar>
              <w:top w:type="dxa" w:w="60"/>
              <w:left w:type="dxa" w:w="90"/>
              <w:bottom w:type="dxa" w:w="60"/>
              <w:right w:type="dxa" w:w="90"/>
            </w:tcMar>
          </w:tcPr>
          <w:p>
            <w:r>
              <w:rPr>
                <w:sz w:val="18"/>
                <w:szCs w:val="18"/>
              </w:rPr>
              <w:t xml:space="preserve">SSRN 5331995</w:t>
            </w:r>
          </w:p>
        </w:tc>
        <w:tc>
          <w:tcPr>
            <w:tcW w:type="dxa" w:w="1400"/>
            <w:shd w:fill="FFFFFF" w:val="clear"/>
            <w:tcMar>
              <w:top w:type="dxa" w:w="60"/>
              <w:left w:type="dxa" w:w="90"/>
              <w:bottom w:type="dxa" w:w="60"/>
              <w:right w:type="dxa" w:w="90"/>
            </w:tcMar>
          </w:tcPr>
          <w:p>
            <w:pPr>
              <w:jc w:val="center"/>
            </w:pPr>
            <w:r>
              <w:rPr>
                <w:sz w:val="18"/>
                <w:szCs w:val="18"/>
              </w:rPr>
              <w:t xml:space="preserve">No</w:t>
            </w:r>
          </w:p>
        </w:tc>
        <w:tc>
          <w:tcPr>
            <w:tcW w:type="dxa" w:w="900"/>
            <w:shd w:fill="FFFFFF" w:val="clear"/>
            <w:tcMar>
              <w:top w:type="dxa" w:w="60"/>
              <w:left w:type="dxa" w:w="90"/>
              <w:bottom w:type="dxa" w:w="60"/>
              <w:right w:type="dxa" w:w="90"/>
            </w:tcMar>
          </w:tcPr>
          <w:p>
            <w:pPr>
              <w:jc w:val="center"/>
            </w:pPr>
            <w:r>
              <w:rPr>
                <w:sz w:val="18"/>
                <w:szCs w:val="18"/>
              </w:rPr>
              <w:t xml:space="preserve">New (n/a)</w:t>
            </w:r>
          </w:p>
        </w:tc>
      </w:tr>
      <w:tr>
        <w:tc>
          <w:tcPr>
            <w:tcW w:type="dxa" w:w="520"/>
            <w:shd w:fill="DCE6F1" w:val="clear"/>
            <w:tcMar>
              <w:top w:type="dxa" w:w="60"/>
              <w:left w:type="dxa" w:w="90"/>
              <w:bottom w:type="dxa" w:w="60"/>
              <w:right w:type="dxa" w:w="90"/>
            </w:tcMar>
          </w:tcPr>
          <w:p>
            <w:pPr>
              <w:jc w:val="center"/>
            </w:pPr>
            <w:r>
              <w:rPr>
                <w:sz w:val="18"/>
                <w:szCs w:val="18"/>
              </w:rPr>
              <w:t xml:space="preserve">13</w:t>
            </w:r>
          </w:p>
        </w:tc>
        <w:tc>
          <w:tcPr>
            <w:tcW w:type="dxa" w:w="3400"/>
            <w:shd w:fill="DCE6F1" w:val="clear"/>
            <w:tcMar>
              <w:top w:type="dxa" w:w="60"/>
              <w:left w:type="dxa" w:w="90"/>
              <w:bottom w:type="dxa" w:w="60"/>
              <w:right w:type="dxa" w:w="90"/>
            </w:tcMar>
          </w:tcPr>
          <w:p>
            <w:r>
              <w:rPr>
                <w:sz w:val="18"/>
                <w:szCs w:val="18"/>
              </w:rPr>
              <w:t xml:space="preserve">(arXiv authors) — Do Prediction Markets Forecast Cryptocurrency Volatility? …</w:t>
            </w:r>
          </w:p>
        </w:tc>
        <w:tc>
          <w:tcPr>
            <w:tcW w:type="dxa" w:w="1050"/>
            <w:shd w:fill="DCE6F1" w:val="clear"/>
            <w:tcMar>
              <w:top w:type="dxa" w:w="60"/>
              <w:left w:type="dxa" w:w="90"/>
              <w:bottom w:type="dxa" w:w="60"/>
              <w:right w:type="dxa" w:w="90"/>
            </w:tcMar>
          </w:tcPr>
          <w:p>
            <w:pPr>
              <w:jc w:val="center"/>
            </w:pPr>
            <w:r>
              <w:rPr>
                <w:sz w:val="18"/>
                <w:szCs w:val="18"/>
              </w:rPr>
              <w:t xml:space="preserve">2026</w:t>
            </w:r>
          </w:p>
        </w:tc>
        <w:tc>
          <w:tcPr>
            <w:tcW w:type="dxa" w:w="2100"/>
            <w:shd w:fill="DCE6F1" w:val="clear"/>
            <w:tcMar>
              <w:top w:type="dxa" w:w="60"/>
              <w:left w:type="dxa" w:w="90"/>
              <w:bottom w:type="dxa" w:w="60"/>
              <w:right w:type="dxa" w:w="90"/>
            </w:tcMar>
          </w:tcPr>
          <w:p>
            <w:r>
              <w:rPr>
                <w:sz w:val="18"/>
                <w:szCs w:val="18"/>
              </w:rPr>
              <w:t xml:space="preserve">arXiv:2604.01431</w:t>
            </w:r>
          </w:p>
        </w:tc>
        <w:tc>
          <w:tcPr>
            <w:tcW w:type="dxa" w:w="1400"/>
            <w:shd w:fill="DCE6F1" w:val="clear"/>
            <w:tcMar>
              <w:top w:type="dxa" w:w="60"/>
              <w:left w:type="dxa" w:w="90"/>
              <w:bottom w:type="dxa" w:w="60"/>
              <w:right w:type="dxa" w:w="90"/>
            </w:tcMar>
          </w:tcPr>
          <w:p>
            <w:pPr>
              <w:jc w:val="center"/>
            </w:pPr>
            <w:r>
              <w:rPr>
                <w:sz w:val="18"/>
                <w:szCs w:val="18"/>
              </w:rPr>
              <w:t xml:space="preserve">No</w:t>
            </w:r>
          </w:p>
        </w:tc>
        <w:tc>
          <w:tcPr>
            <w:tcW w:type="dxa" w:w="900"/>
            <w:shd w:fill="DCE6F1" w:val="clear"/>
            <w:tcMar>
              <w:top w:type="dxa" w:w="60"/>
              <w:left w:type="dxa" w:w="90"/>
              <w:bottom w:type="dxa" w:w="60"/>
              <w:right w:type="dxa" w:w="90"/>
            </w:tcMar>
          </w:tcPr>
          <w:p>
            <w:pPr>
              <w:jc w:val="center"/>
            </w:pPr>
            <w:r>
              <w:rPr>
                <w:sz w:val="18"/>
                <w:szCs w:val="18"/>
              </w:rPr>
              <w:t xml:space="preserve">New (n/a)</w:t>
            </w:r>
          </w:p>
        </w:tc>
      </w:tr>
      <w:tr>
        <w:tc>
          <w:tcPr>
            <w:tcW w:type="dxa" w:w="520"/>
            <w:shd w:fill="FFFFFF" w:val="clear"/>
            <w:tcMar>
              <w:top w:type="dxa" w:w="60"/>
              <w:left w:type="dxa" w:w="90"/>
              <w:bottom w:type="dxa" w:w="60"/>
              <w:right w:type="dxa" w:w="90"/>
            </w:tcMar>
          </w:tcPr>
          <w:p>
            <w:pPr>
              <w:jc w:val="center"/>
            </w:pPr>
            <w:r>
              <w:rPr>
                <w:sz w:val="18"/>
                <w:szCs w:val="18"/>
              </w:rPr>
              <w:t xml:space="preserve">14</w:t>
            </w:r>
          </w:p>
        </w:tc>
        <w:tc>
          <w:tcPr>
            <w:tcW w:type="dxa" w:w="3400"/>
            <w:shd w:fill="FFFFFF" w:val="clear"/>
            <w:tcMar>
              <w:top w:type="dxa" w:w="60"/>
              <w:left w:type="dxa" w:w="90"/>
              <w:bottom w:type="dxa" w:w="60"/>
              <w:right w:type="dxa" w:w="90"/>
            </w:tcMar>
          </w:tcPr>
          <w:p>
            <w:r>
              <w:rPr>
                <w:sz w:val="18"/>
                <w:szCs w:val="18"/>
              </w:rPr>
              <w:t xml:space="preserve">(arXiv authors) — The Anatomy of a Blockchain Prediction Market: Polymarket …</w:t>
            </w:r>
          </w:p>
        </w:tc>
        <w:tc>
          <w:tcPr>
            <w:tcW w:type="dxa" w:w="1050"/>
            <w:shd w:fill="FFFFFF" w:val="clear"/>
            <w:tcMar>
              <w:top w:type="dxa" w:w="60"/>
              <w:left w:type="dxa" w:w="90"/>
              <w:bottom w:type="dxa" w:w="60"/>
              <w:right w:type="dxa" w:w="90"/>
            </w:tcMar>
          </w:tcPr>
          <w:p>
            <w:pPr>
              <w:jc w:val="center"/>
            </w:pPr>
            <w:r>
              <w:rPr>
                <w:sz w:val="18"/>
                <w:szCs w:val="18"/>
              </w:rPr>
              <w:t xml:space="preserve">2026</w:t>
            </w:r>
          </w:p>
        </w:tc>
        <w:tc>
          <w:tcPr>
            <w:tcW w:type="dxa" w:w="2100"/>
            <w:shd w:fill="FFFFFF" w:val="clear"/>
            <w:tcMar>
              <w:top w:type="dxa" w:w="60"/>
              <w:left w:type="dxa" w:w="90"/>
              <w:bottom w:type="dxa" w:w="60"/>
              <w:right w:type="dxa" w:w="90"/>
            </w:tcMar>
          </w:tcPr>
          <w:p>
            <w:r>
              <w:rPr>
                <w:sz w:val="18"/>
                <w:szCs w:val="18"/>
              </w:rPr>
              <w:t xml:space="preserve">arXiv:2603.03136</w:t>
            </w:r>
          </w:p>
        </w:tc>
        <w:tc>
          <w:tcPr>
            <w:tcW w:type="dxa" w:w="1400"/>
            <w:shd w:fill="FFFFFF" w:val="clear"/>
            <w:tcMar>
              <w:top w:type="dxa" w:w="60"/>
              <w:left w:type="dxa" w:w="90"/>
              <w:bottom w:type="dxa" w:w="60"/>
              <w:right w:type="dxa" w:w="90"/>
            </w:tcMar>
          </w:tcPr>
          <w:p>
            <w:pPr>
              <w:jc w:val="center"/>
            </w:pPr>
            <w:r>
              <w:rPr>
                <w:sz w:val="18"/>
                <w:szCs w:val="18"/>
              </w:rPr>
              <w:t xml:space="preserve">No</w:t>
            </w:r>
          </w:p>
        </w:tc>
        <w:tc>
          <w:tcPr>
            <w:tcW w:type="dxa" w:w="900"/>
            <w:shd w:fill="FFFFFF" w:val="clear"/>
            <w:tcMar>
              <w:top w:type="dxa" w:w="60"/>
              <w:left w:type="dxa" w:w="90"/>
              <w:bottom w:type="dxa" w:w="60"/>
              <w:right w:type="dxa" w:w="90"/>
            </w:tcMar>
          </w:tcPr>
          <w:p>
            <w:pPr>
              <w:jc w:val="center"/>
            </w:pPr>
            <w:r>
              <w:rPr>
                <w:sz w:val="18"/>
                <w:szCs w:val="18"/>
              </w:rPr>
              <w:t xml:space="preserve">New (n/a)</w:t>
            </w:r>
          </w:p>
        </w:tc>
      </w:tr>
      <w:tr>
        <w:tc>
          <w:tcPr>
            <w:tcW w:type="dxa" w:w="520"/>
            <w:shd w:fill="DCE6F1" w:val="clear"/>
            <w:tcMar>
              <w:top w:type="dxa" w:w="60"/>
              <w:left w:type="dxa" w:w="90"/>
              <w:bottom w:type="dxa" w:w="60"/>
              <w:right w:type="dxa" w:w="90"/>
            </w:tcMar>
          </w:tcPr>
          <w:p>
            <w:pPr>
              <w:jc w:val="center"/>
            </w:pPr>
            <w:r>
              <w:rPr>
                <w:sz w:val="18"/>
                <w:szCs w:val="18"/>
              </w:rPr>
              <w:t xml:space="preserve">15</w:t>
            </w:r>
          </w:p>
        </w:tc>
        <w:tc>
          <w:tcPr>
            <w:tcW w:type="dxa" w:w="3400"/>
            <w:shd w:fill="DCE6F1" w:val="clear"/>
            <w:tcMar>
              <w:top w:type="dxa" w:w="60"/>
              <w:left w:type="dxa" w:w="90"/>
              <w:bottom w:type="dxa" w:w="60"/>
              <w:right w:type="dxa" w:w="90"/>
            </w:tcMar>
          </w:tcPr>
          <w:p>
            <w:r>
              <w:rPr>
                <w:sz w:val="18"/>
                <w:szCs w:val="18"/>
              </w:rPr>
              <w:t xml:space="preserve">(J. of Prediction Markets) — Arbitrage in Political Prediction Markets</w:t>
            </w:r>
          </w:p>
        </w:tc>
        <w:tc>
          <w:tcPr>
            <w:tcW w:type="dxa" w:w="1050"/>
            <w:shd w:fill="DCE6F1" w:val="clear"/>
            <w:tcMar>
              <w:top w:type="dxa" w:w="60"/>
              <w:left w:type="dxa" w:w="90"/>
              <w:bottom w:type="dxa" w:w="60"/>
              <w:right w:type="dxa" w:w="90"/>
            </w:tcMar>
          </w:tcPr>
          <w:p>
            <w:pPr>
              <w:jc w:val="center"/>
            </w:pPr>
            <w:r>
              <w:rPr>
                <w:sz w:val="18"/>
                <w:szCs w:val="18"/>
              </w:rPr>
              <w:t xml:space="preserve">2020</w:t>
            </w:r>
          </w:p>
        </w:tc>
        <w:tc>
          <w:tcPr>
            <w:tcW w:type="dxa" w:w="2100"/>
            <w:shd w:fill="DCE6F1" w:val="clear"/>
            <w:tcMar>
              <w:top w:type="dxa" w:w="60"/>
              <w:left w:type="dxa" w:w="90"/>
              <w:bottom w:type="dxa" w:w="60"/>
              <w:right w:type="dxa" w:w="90"/>
            </w:tcMar>
          </w:tcPr>
          <w:p>
            <w:r>
              <w:rPr>
                <w:sz w:val="18"/>
                <w:szCs w:val="18"/>
              </w:rPr>
              <w:t xml:space="preserve">The Journal of Prediction Markets,</w:t>
            </w:r>
          </w:p>
        </w:tc>
        <w:tc>
          <w:tcPr>
            <w:tcW w:type="dxa" w:w="1400"/>
            <w:shd w:fill="DCE6F1" w:val="clear"/>
            <w:tcMar>
              <w:top w:type="dxa" w:w="60"/>
              <w:left w:type="dxa" w:w="90"/>
              <w:bottom w:type="dxa" w:w="60"/>
              <w:right w:type="dxa" w:w="90"/>
            </w:tcMar>
          </w:tcPr>
          <w:p>
            <w:pPr>
              <w:jc w:val="center"/>
            </w:pPr>
            <w:r>
              <w:rPr>
                <w:sz w:val="18"/>
                <w:szCs w:val="18"/>
              </w:rPr>
              <w:t xml:space="preserve">Yes</w:t>
            </w:r>
          </w:p>
        </w:tc>
        <w:tc>
          <w:tcPr>
            <w:tcW w:type="dxa" w:w="900"/>
            <w:shd w:fill="DCE6F1" w:val="clear"/>
            <w:tcMar>
              <w:top w:type="dxa" w:w="60"/>
              <w:left w:type="dxa" w:w="90"/>
              <w:bottom w:type="dxa" w:w="60"/>
              <w:right w:type="dxa" w:w="90"/>
            </w:tcMar>
          </w:tcPr>
          <w:p>
            <w:pPr>
              <w:jc w:val="center"/>
            </w:pPr>
            <w:r>
              <w:rPr>
                <w:sz w:val="18"/>
                <w:szCs w:val="18"/>
              </w:rPr>
              <w:t xml:space="preserve">~20 (GS)</w:t>
            </w:r>
          </w:p>
        </w:tc>
      </w:tr>
      <w:tr>
        <w:tc>
          <w:tcPr>
            <w:tcW w:type="dxa" w:w="520"/>
            <w:shd w:fill="FFFFFF" w:val="clear"/>
            <w:tcMar>
              <w:top w:type="dxa" w:w="60"/>
              <w:left w:type="dxa" w:w="90"/>
              <w:bottom w:type="dxa" w:w="60"/>
              <w:right w:type="dxa" w:w="90"/>
            </w:tcMar>
          </w:tcPr>
          <w:p>
            <w:pPr>
              <w:jc w:val="center"/>
            </w:pPr>
            <w:r>
              <w:rPr>
                <w:sz w:val="18"/>
                <w:szCs w:val="18"/>
              </w:rPr>
              <w:t xml:space="preserve">16</w:t>
            </w:r>
          </w:p>
        </w:tc>
        <w:tc>
          <w:tcPr>
            <w:tcW w:type="dxa" w:w="3400"/>
            <w:shd w:fill="FFFFFF" w:val="clear"/>
            <w:tcMar>
              <w:top w:type="dxa" w:w="60"/>
              <w:left w:type="dxa" w:w="90"/>
              <w:bottom w:type="dxa" w:w="60"/>
              <w:right w:type="dxa" w:w="90"/>
            </w:tcMar>
          </w:tcPr>
          <w:p>
            <w:r>
              <w:rPr>
                <w:sz w:val="18"/>
                <w:szCs w:val="18"/>
              </w:rPr>
              <w:t xml:space="preserve">(AIA Forecaster team) — AIA Forecaster: Technical Report (agentic LLM forecasting …</w:t>
            </w:r>
          </w:p>
        </w:tc>
        <w:tc>
          <w:tcPr>
            <w:tcW w:type="dxa" w:w="1050"/>
            <w:shd w:fill="FFFFFF" w:val="clear"/>
            <w:tcMar>
              <w:top w:type="dxa" w:w="60"/>
              <w:left w:type="dxa" w:w="90"/>
              <w:bottom w:type="dxa" w:w="60"/>
              <w:right w:type="dxa" w:w="90"/>
            </w:tcMar>
          </w:tcPr>
          <w:p>
            <w:pPr>
              <w:jc w:val="center"/>
            </w:pPr>
            <w:r>
              <w:rPr>
                <w:sz w:val="18"/>
                <w:szCs w:val="18"/>
              </w:rPr>
              <w:t xml:space="preserve">2025</w:t>
            </w:r>
          </w:p>
        </w:tc>
        <w:tc>
          <w:tcPr>
            <w:tcW w:type="dxa" w:w="2100"/>
            <w:shd w:fill="FFFFFF" w:val="clear"/>
            <w:tcMar>
              <w:top w:type="dxa" w:w="60"/>
              <w:left w:type="dxa" w:w="90"/>
              <w:bottom w:type="dxa" w:w="60"/>
              <w:right w:type="dxa" w:w="90"/>
            </w:tcMar>
          </w:tcPr>
          <w:p>
            <w:r>
              <w:rPr>
                <w:sz w:val="18"/>
                <w:szCs w:val="18"/>
              </w:rPr>
              <w:t xml:space="preserve">arXiv:2511.07678</w:t>
            </w:r>
          </w:p>
        </w:tc>
        <w:tc>
          <w:tcPr>
            <w:tcW w:type="dxa" w:w="1400"/>
            <w:shd w:fill="FFFFFF" w:val="clear"/>
            <w:tcMar>
              <w:top w:type="dxa" w:w="60"/>
              <w:left w:type="dxa" w:w="90"/>
              <w:bottom w:type="dxa" w:w="60"/>
              <w:right w:type="dxa" w:w="90"/>
            </w:tcMar>
          </w:tcPr>
          <w:p>
            <w:pPr>
              <w:jc w:val="center"/>
            </w:pPr>
            <w:r>
              <w:rPr>
                <w:sz w:val="18"/>
                <w:szCs w:val="18"/>
              </w:rPr>
              <w:t xml:space="preserve">No</w:t>
            </w:r>
          </w:p>
        </w:tc>
        <w:tc>
          <w:tcPr>
            <w:tcW w:type="dxa" w:w="900"/>
            <w:shd w:fill="FFFFFF" w:val="clear"/>
            <w:tcMar>
              <w:top w:type="dxa" w:w="60"/>
              <w:left w:type="dxa" w:w="90"/>
              <w:bottom w:type="dxa" w:w="60"/>
              <w:right w:type="dxa" w:w="90"/>
            </w:tcMar>
          </w:tcPr>
          <w:p>
            <w:pPr>
              <w:jc w:val="center"/>
            </w:pPr>
            <w:r>
              <w:rPr>
                <w:sz w:val="18"/>
                <w:szCs w:val="18"/>
              </w:rPr>
              <w:t xml:space="preserve">New (n/a)</w:t>
            </w:r>
          </w:p>
        </w:tc>
      </w:tr>
    </w:tbl>
    <w:p>
      <w:r>
        <w:br w:type="page"/>
      </w:r>
    </w:p>
    <w:p>
      <w:pPr>
        <w:pStyle w:val="Heading1"/>
        <w:spacing w:after="160" w:before="320"/>
      </w:pPr>
      <w:r>
        <w:rPr>
          <w:b/>
          <w:bCs/>
          <w:color w:val="1F3864"/>
          <w:sz w:val="30"/>
          <w:szCs w:val="30"/>
        </w:rPr>
        <w:t xml:space="preserve">Annotated Papers by Topic</w:t>
      </w:r>
    </w:p>
    <w:p>
      <w:pPr>
        <w:pStyle w:val="Heading2"/>
        <w:spacing w:after="120" w:before="240"/>
      </w:pPr>
      <w:r>
        <w:rPr>
          <w:b/>
          <w:bCs/>
          <w:color w:val="2E5496"/>
          <w:sz w:val="26"/>
          <w:szCs w:val="26"/>
        </w:rPr>
        <w:t xml:space="preserve">Section A — Fundamentals, Efficiency &amp; Price-as-Probability</w:t>
      </w:r>
    </w:p>
    <w:p>
      <w:pPr>
        <w:pStyle w:val="Heading3"/>
        <w:spacing w:after="80" w:before="200"/>
      </w:pPr>
      <w:r>
        <w:rPr>
          <w:b/>
          <w:bCs/>
          <w:color w:val="1F3864"/>
          <w:sz w:val="23"/>
          <w:szCs w:val="23"/>
        </w:rPr>
        <w:t xml:space="preserve">[1] Prediction Markets</w:t>
      </w:r>
    </w:p>
    <w:p>
      <w:pPr>
        <w:spacing w:after="100" w:line="272"/>
      </w:pPr>
      <w:r>
        <w:rPr>
          <w:b/>
          <w:bCs/>
          <w:color w:val="2E5496"/>
          <w:sz w:val="21"/>
          <w:szCs w:val="21"/>
        </w:rPr>
        <w:t xml:space="preserve">Authors: </w:t>
      </w:r>
      <w:r>
        <w:rPr>
          <w:sz w:val="21"/>
          <w:szCs w:val="21"/>
        </w:rPr>
        <w:t xml:space="preserve">Justin Wolfers &amp; Eric Zitzewitz</w:t>
      </w:r>
    </w:p>
    <w:p>
      <w:pPr>
        <w:spacing w:after="100" w:line="272"/>
      </w:pPr>
      <w:r>
        <w:rPr>
          <w:b/>
          <w:bCs/>
          <w:color w:val="2E5496"/>
          <w:sz w:val="21"/>
          <w:szCs w:val="21"/>
        </w:rPr>
        <w:t xml:space="preserve">Year / Venue: </w:t>
      </w:r>
      <w:r>
        <w:rPr>
          <w:sz w:val="21"/>
          <w:szCs w:val="21"/>
        </w:rPr>
        <w:t xml:space="preserve">2004 — Journal of Economic Perspectives, 18(2), 107–126</w:t>
      </w:r>
    </w:p>
    <w:p>
      <w:pPr>
        <w:spacing w:after="100" w:line="272"/>
      </w:pPr>
      <w:r>
        <w:rPr>
          <w:b/>
          <w:bCs/>
          <w:color w:val="2E5496"/>
          <w:sz w:val="21"/>
          <w:szCs w:val="21"/>
        </w:rPr>
        <w:t xml:space="preserve">Type / Peer-reviewed: </w:t>
      </w:r>
      <w:r>
        <w:rPr>
          <w:sz w:val="21"/>
          <w:szCs w:val="21"/>
        </w:rPr>
        <w:t xml:space="preserve">Peer-reviewed journal article · Peer-reviewed: Yes · Approx. citations: ~2,700 (GS)</w:t>
      </w:r>
    </w:p>
    <w:p>
      <w:pPr>
        <w:spacing w:after="120"/>
      </w:pPr>
      <w:r>
        <w:rPr>
          <w:b/>
          <w:bCs/>
          <w:color w:val="2E5496"/>
          <w:sz w:val="21"/>
          <w:szCs w:val="21"/>
        </w:rPr>
        <w:t xml:space="preserve">Link: </w:t>
      </w:r>
      <w:hyperlink w:history="1" r:id="rIdla6kbyls5dqbckbz2qvkl">
        <w:r>
          <w:rPr>
            <w:rStyle w:val="Hyperlink"/>
            <w:sz w:val="21"/>
            <w:szCs w:val="21"/>
          </w:rPr>
          <w:t xml:space="preserve">https://www.aeaweb.org/articles?id=10.1257/0895330041371321</w:t>
        </w:r>
      </w:hyperlink>
    </w:p>
    <w:p>
      <w:pPr>
        <w:spacing w:after="100" w:line="272"/>
      </w:pPr>
      <w:r>
        <w:rPr>
          <w:b/>
          <w:bCs/>
          <w:color w:val="2E5496"/>
          <w:sz w:val="21"/>
          <w:szCs w:val="21"/>
        </w:rPr>
        <w:t xml:space="preserve">Summary: </w:t>
      </w:r>
      <w:r>
        <w:rPr>
          <w:sz w:val="21"/>
          <w:szCs w:val="21"/>
        </w:rPr>
        <w:t xml:space="preserve">The canonical survey that defined the field. It classifies contract types (winner-take-all, index, spread) and shows how each reveals a different moment of the market's belief distribution — binary prices approximate the mean probability, index contracts the mean outcome, spread contracts the median. It documents that market forecasts are typically accurate and beat most moderately sophisticated benchmarks, while cautioning that prices are expected values only under simplifying assumptions.</w:t>
      </w:r>
    </w:p>
    <w:p>
      <w:pPr>
        <w:spacing w:after="100" w:line="272"/>
      </w:pPr>
      <w:r>
        <w:rPr>
          <w:b/>
          <w:bCs/>
          <w:color w:val="2E5496"/>
          <w:sz w:val="21"/>
          <w:szCs w:val="21"/>
        </w:rPr>
        <w:t xml:space="preserve">Main findings: </w:t>
      </w:r>
      <w:r>
        <w:rPr>
          <w:sz w:val="21"/>
          <w:szCs w:val="21"/>
        </w:rPr>
        <w:t xml:space="preserve">Simple markets aggregate dispersed information into forecasts that are hard to beat; binary contract prices are a good first-order proxy for probability; contract design determines which statistic of belief you extract.</w:t>
      </w:r>
    </w:p>
    <w:p>
      <w:pPr>
        <w:spacing w:after="100" w:line="272"/>
      </w:pPr>
      <w:r>
        <w:rPr>
          <w:b/>
          <w:bCs/>
          <w:color w:val="2E5496"/>
          <w:sz w:val="21"/>
          <w:szCs w:val="21"/>
        </w:rPr>
        <w:t xml:space="preserve">Data: </w:t>
      </w:r>
      <w:r>
        <w:rPr>
          <w:sz w:val="21"/>
          <w:szCs w:val="21"/>
        </w:rPr>
        <w:t xml:space="preserve">Reviews IEM, Hollywood Stock Exchange, TradeSports, corporate internal markets and horse-race odds.</w:t>
      </w:r>
    </w:p>
    <w:p>
      <w:pPr>
        <w:spacing w:after="100" w:line="272"/>
      </w:pPr>
      <w:r>
        <w:rPr>
          <w:b/>
          <w:bCs/>
          <w:color w:val="2E5496"/>
          <w:sz w:val="21"/>
          <w:szCs w:val="21"/>
        </w:rPr>
        <w:t xml:space="preserve">Methodology: </w:t>
      </w:r>
      <w:r>
        <w:rPr>
          <w:sz w:val="21"/>
          <w:szCs w:val="21"/>
        </w:rPr>
        <w:t xml:space="preserve">Conceptual/survey with illustrative empirical examples; no single dataset.</w:t>
      </w:r>
    </w:p>
    <w:p>
      <w:pPr>
        <w:spacing w:after="100" w:line="272"/>
      </w:pPr>
      <w:r>
        <w:rPr>
          <w:b/>
          <w:bCs/>
          <w:color w:val="2E5496"/>
          <w:sz w:val="21"/>
          <w:szCs w:val="21"/>
        </w:rPr>
        <w:t xml:space="preserve">Key limitations: </w:t>
      </w:r>
      <w:r>
        <w:rPr>
          <w:sz w:val="21"/>
          <w:szCs w:val="21"/>
        </w:rPr>
        <w:t xml:space="preserve">Pre-dates Kalshi/Polymarket and modern electronic microstructure; treats prices as probabilities under risk-neutrality assumptions later shown to bias tails.</w:t>
      </w:r>
    </w:p>
    <w:p>
      <w:pPr>
        <w:spacing w:after="100" w:line="272"/>
      </w:pPr>
      <w:r>
        <w:rPr>
          <w:b/>
          <w:bCs/>
          <w:color w:val="2E5496"/>
          <w:sz w:val="21"/>
          <w:szCs w:val="21"/>
        </w:rPr>
        <w:t xml:space="preserve">Relevance to Kalshi: </w:t>
      </w:r>
      <w:r>
        <w:rPr>
          <w:sz w:val="21"/>
          <w:szCs w:val="21"/>
        </w:rPr>
        <w:t xml:space="preserve">The interpretive backbone for reading any Kalshi 0–100¢ price as a probability, and the reference point for what 'efficient' looks like before layering in Kalshi's fees and spreads.</w:t>
      </w:r>
    </w:p>
    <w:p>
      <w:pPr>
        <w:spacing w:after="100" w:line="272"/>
      </w:pPr>
      <w:r>
        <w:rPr>
          <w:b/>
          <w:bCs/>
          <w:color w:val="2E5496"/>
          <w:sz w:val="21"/>
          <w:szCs w:val="21"/>
        </w:rPr>
        <w:t xml:space="preserve">Strategy ideas: </w:t>
      </w:r>
      <w:r>
        <w:rPr>
          <w:sz w:val="21"/>
          <w:szCs w:val="21"/>
        </w:rPr>
        <w:t xml:space="preserve">Use as the null model: build a calibration baseline that treats Kalshi prices as unbiased probabilities, then measure systematic deviations from it as the tradable signal.</w:t>
      </w:r>
    </w:p>
    <w:p>
      <w:pPr>
        <w:pStyle w:val="Heading3"/>
        <w:spacing w:after="80" w:before="200"/>
      </w:pPr>
      <w:r>
        <w:rPr>
          <w:b/>
          <w:bCs/>
          <w:color w:val="1F3864"/>
          <w:sz w:val="23"/>
          <w:szCs w:val="23"/>
        </w:rPr>
        <w:t xml:space="preserve">[2] Interpreting Prediction Market Prices as Probabilities</w:t>
      </w:r>
    </w:p>
    <w:p>
      <w:pPr>
        <w:spacing w:after="100" w:line="272"/>
      </w:pPr>
      <w:r>
        <w:rPr>
          <w:b/>
          <w:bCs/>
          <w:color w:val="2E5496"/>
          <w:sz w:val="21"/>
          <w:szCs w:val="21"/>
        </w:rPr>
        <w:t xml:space="preserve">Authors: </w:t>
      </w:r>
      <w:r>
        <w:rPr>
          <w:sz w:val="21"/>
          <w:szCs w:val="21"/>
        </w:rPr>
        <w:t xml:space="preserve">Justin Wolfers &amp; Eric Zitzewitz</w:t>
      </w:r>
    </w:p>
    <w:p>
      <w:pPr>
        <w:spacing w:after="100" w:line="272"/>
      </w:pPr>
      <w:r>
        <w:rPr>
          <w:b/>
          <w:bCs/>
          <w:color w:val="2E5496"/>
          <w:sz w:val="21"/>
          <w:szCs w:val="21"/>
        </w:rPr>
        <w:t xml:space="preserve">Year / Venue: </w:t>
      </w:r>
      <w:r>
        <w:rPr>
          <w:sz w:val="21"/>
          <w:szCs w:val="21"/>
        </w:rPr>
        <w:t xml:space="preserve">2006 — NBER Working Paper No. 12200</w:t>
      </w:r>
    </w:p>
    <w:p>
      <w:pPr>
        <w:spacing w:after="100" w:line="272"/>
      </w:pPr>
      <w:r>
        <w:rPr>
          <w:b/>
          <w:bCs/>
          <w:color w:val="2E5496"/>
          <w:sz w:val="21"/>
          <w:szCs w:val="21"/>
        </w:rPr>
        <w:t xml:space="preserve">Type / Peer-reviewed: </w:t>
      </w:r>
      <w:r>
        <w:rPr>
          <w:sz w:val="21"/>
          <w:szCs w:val="21"/>
        </w:rPr>
        <w:t xml:space="preserve">NBER working paper · Peer-reviewed: No (working paper) · Approx. citations: ~500 (GS)</w:t>
      </w:r>
    </w:p>
    <w:p>
      <w:pPr>
        <w:spacing w:after="120"/>
      </w:pPr>
      <w:r>
        <w:rPr>
          <w:b/>
          <w:bCs/>
          <w:color w:val="2E5496"/>
          <w:sz w:val="21"/>
          <w:szCs w:val="21"/>
        </w:rPr>
        <w:t xml:space="preserve">Link: </w:t>
      </w:r>
      <w:hyperlink w:history="1" r:id="rIdlfmwyr6tx7heulf5vonsi">
        <w:r>
          <w:rPr>
            <w:rStyle w:val="Hyperlink"/>
            <w:sz w:val="21"/>
            <w:szCs w:val="21"/>
          </w:rPr>
          <w:t xml:space="preserve">https://www.nber.org/papers/w12200</w:t>
        </w:r>
      </w:hyperlink>
    </w:p>
    <w:p>
      <w:pPr>
        <w:spacing w:after="100" w:line="272"/>
      </w:pPr>
      <w:r>
        <w:rPr>
          <w:b/>
          <w:bCs/>
          <w:color w:val="2E5496"/>
          <w:sz w:val="21"/>
          <w:szCs w:val="21"/>
        </w:rPr>
        <w:t xml:space="preserve">Summary: </w:t>
      </w:r>
      <w:r>
        <w:rPr>
          <w:sz w:val="21"/>
          <w:szCs w:val="21"/>
        </w:rPr>
        <w:t xml:space="preserve">A theoretical companion that asks when a market price actually equals the mean subjective probability. Building a model with risk-averse traders holding heterogeneous beliefs, the authors show that for a broad and empirically reasonable class of preferences and belief distributions, prices sit close to mean beliefs — but risk aversion and belief dispersion push prices away from probabilities, especially in the tails.</w:t>
      </w:r>
    </w:p>
    <w:p>
      <w:pPr>
        <w:spacing w:after="100" w:line="272"/>
      </w:pPr>
      <w:r>
        <w:rPr>
          <w:b/>
          <w:bCs/>
          <w:color w:val="2E5496"/>
          <w:sz w:val="21"/>
          <w:szCs w:val="21"/>
        </w:rPr>
        <w:t xml:space="preserve">Main findings: </w:t>
      </w:r>
      <w:r>
        <w:rPr>
          <w:sz w:val="21"/>
          <w:szCs w:val="21"/>
        </w:rPr>
        <w:t xml:space="preserve">Prices ≈ mean belief for realistic parameter ranges, but the wedge grows with risk aversion and disagreement, providing a micro-founded explanation for the favorite-longshot bias.</w:t>
      </w:r>
    </w:p>
    <w:p>
      <w:pPr>
        <w:spacing w:after="100" w:line="272"/>
      </w:pPr>
      <w:r>
        <w:rPr>
          <w:b/>
          <w:bCs/>
          <w:color w:val="2E5496"/>
          <w:sz w:val="21"/>
          <w:szCs w:val="21"/>
        </w:rPr>
        <w:t xml:space="preserve">Data: </w:t>
      </w:r>
      <w:r>
        <w:rPr>
          <w:sz w:val="21"/>
          <w:szCs w:val="21"/>
        </w:rPr>
        <w:t xml:space="preserve">Simulation/analytic; calibrated to plausible belief distributions.</w:t>
      </w:r>
    </w:p>
    <w:p>
      <w:pPr>
        <w:spacing w:after="100" w:line="272"/>
      </w:pPr>
      <w:r>
        <w:rPr>
          <w:b/>
          <w:bCs/>
          <w:color w:val="2E5496"/>
          <w:sz w:val="21"/>
          <w:szCs w:val="21"/>
        </w:rPr>
        <w:t xml:space="preserve">Methodology: </w:t>
      </w:r>
      <w:r>
        <w:rPr>
          <w:sz w:val="21"/>
          <w:szCs w:val="21"/>
        </w:rPr>
        <w:t xml:space="preserve">Equilibrium pricing model of a binary contract with heterogeneous risk-averse agents.</w:t>
      </w:r>
    </w:p>
    <w:p>
      <w:pPr>
        <w:spacing w:after="100" w:line="272"/>
      </w:pPr>
      <w:r>
        <w:rPr>
          <w:b/>
          <w:bCs/>
          <w:color w:val="2E5496"/>
          <w:sz w:val="21"/>
          <w:szCs w:val="21"/>
        </w:rPr>
        <w:t xml:space="preserve">Key limitations: </w:t>
      </w:r>
      <w:r>
        <w:rPr>
          <w:sz w:val="21"/>
          <w:szCs w:val="21"/>
        </w:rPr>
        <w:t xml:space="preserve">Stylized; abstracts from fees, spreads, order-flow and liquidity that dominate real thin markets.</w:t>
      </w:r>
    </w:p>
    <w:p>
      <w:pPr>
        <w:spacing w:after="100" w:line="272"/>
      </w:pPr>
      <w:r>
        <w:rPr>
          <w:b/>
          <w:bCs/>
          <w:color w:val="2E5496"/>
          <w:sz w:val="21"/>
          <w:szCs w:val="21"/>
        </w:rPr>
        <w:t xml:space="preserve">Relevance to Kalshi: </w:t>
      </w:r>
      <w:r>
        <w:rPr>
          <w:sz w:val="21"/>
          <w:szCs w:val="21"/>
        </w:rPr>
        <w:t xml:space="preserve">Justifies why cheap Kalshi longshots should be expected to be systematically overpriced relative to their true probability — the exact bias later measured on Kalshi.</w:t>
      </w:r>
    </w:p>
    <w:p>
      <w:pPr>
        <w:spacing w:after="100" w:line="272"/>
      </w:pPr>
      <w:r>
        <w:rPr>
          <w:b/>
          <w:bCs/>
          <w:color w:val="2E5496"/>
          <w:sz w:val="21"/>
          <w:szCs w:val="21"/>
        </w:rPr>
        <w:t xml:space="preserve">Strategy ideas: </w:t>
      </w:r>
      <w:r>
        <w:rPr>
          <w:sz w:val="21"/>
          <w:szCs w:val="21"/>
        </w:rPr>
        <w:t xml:space="preserve">Estimate a price→probability 'debiasing' curve and trade the gap: fade extreme longshots, lean into strong favorites where the model predicts under-pricing.</w:t>
      </w:r>
    </w:p>
    <w:p>
      <w:pPr>
        <w:pStyle w:val="Heading3"/>
        <w:spacing w:after="80" w:before="200"/>
      </w:pPr>
      <w:r>
        <w:rPr>
          <w:b/>
          <w:bCs/>
          <w:color w:val="1F3864"/>
          <w:sz w:val="23"/>
          <w:szCs w:val="23"/>
        </w:rPr>
        <w:t xml:space="preserve">[3] Interpreting the Predictions of Prediction Markets</w:t>
      </w:r>
    </w:p>
    <w:p>
      <w:pPr>
        <w:spacing w:after="100" w:line="272"/>
      </w:pPr>
      <w:r>
        <w:rPr>
          <w:b/>
          <w:bCs/>
          <w:color w:val="2E5496"/>
          <w:sz w:val="21"/>
          <w:szCs w:val="21"/>
        </w:rPr>
        <w:t xml:space="preserve">Authors: </w:t>
      </w:r>
      <w:r>
        <w:rPr>
          <w:sz w:val="21"/>
          <w:szCs w:val="21"/>
        </w:rPr>
        <w:t xml:space="preserve">Charles F. Manski</w:t>
      </w:r>
    </w:p>
    <w:p>
      <w:pPr>
        <w:spacing w:after="100" w:line="272"/>
      </w:pPr>
      <w:r>
        <w:rPr>
          <w:b/>
          <w:bCs/>
          <w:color w:val="2E5496"/>
          <w:sz w:val="21"/>
          <w:szCs w:val="21"/>
        </w:rPr>
        <w:t xml:space="preserve">Year / Venue: </w:t>
      </w:r>
      <w:r>
        <w:rPr>
          <w:sz w:val="21"/>
          <w:szCs w:val="21"/>
        </w:rPr>
        <w:t xml:space="preserve">2006 — Economics Letters, 91(3), 425–429</w:t>
      </w:r>
    </w:p>
    <w:p>
      <w:pPr>
        <w:spacing w:after="100" w:line="272"/>
      </w:pPr>
      <w:r>
        <w:rPr>
          <w:b/>
          <w:bCs/>
          <w:color w:val="2E5496"/>
          <w:sz w:val="21"/>
          <w:szCs w:val="21"/>
        </w:rPr>
        <w:t xml:space="preserve">Type / Peer-reviewed: </w:t>
      </w:r>
      <w:r>
        <w:rPr>
          <w:sz w:val="21"/>
          <w:szCs w:val="21"/>
        </w:rPr>
        <w:t xml:space="preserve">Peer-reviewed journal article · Peer-reviewed: Yes · Approx. citations: ~450 (GS)</w:t>
      </w:r>
    </w:p>
    <w:p>
      <w:pPr>
        <w:spacing w:after="120"/>
      </w:pPr>
      <w:r>
        <w:rPr>
          <w:b/>
          <w:bCs/>
          <w:color w:val="2E5496"/>
          <w:sz w:val="21"/>
          <w:szCs w:val="21"/>
        </w:rPr>
        <w:t xml:space="preserve">Link: </w:t>
      </w:r>
      <w:hyperlink w:history="1" r:id="rIdg3rwmjhsgmun8hxk6vg4k">
        <w:r>
          <w:rPr>
            <w:rStyle w:val="Hyperlink"/>
            <w:sz w:val="21"/>
            <w:szCs w:val="21"/>
          </w:rPr>
          <w:t xml:space="preserve">https://www.sciencedirect.com/science/article/abs/pii/S016517650600022X</w:t>
        </w:r>
      </w:hyperlink>
    </w:p>
    <w:p>
      <w:pPr>
        <w:spacing w:after="100" w:line="272"/>
      </w:pPr>
      <w:r>
        <w:rPr>
          <w:b/>
          <w:bCs/>
          <w:color w:val="2E5496"/>
          <w:sz w:val="21"/>
          <w:szCs w:val="21"/>
        </w:rPr>
        <w:t xml:space="preserve">Summary: </w:t>
      </w:r>
      <w:r>
        <w:rPr>
          <w:sz w:val="21"/>
          <w:szCs w:val="21"/>
        </w:rPr>
        <w:t xml:space="preserve">Manski's influential skeptical note argues there is little theory licensing the routine equation of price with probability. With risk-neutral traders holding heterogeneous beliefs, the equilibrium price generally does not equal the mean belief; instead it bounds it. The paper triggered the formal-foundations literature (Gjerstad 2005; Wolfers–Zitzewitz 2006) that partially rehabilitated the price-as-probability reading.</w:t>
      </w:r>
    </w:p>
    <w:p>
      <w:pPr>
        <w:spacing w:after="100" w:line="272"/>
      </w:pPr>
      <w:r>
        <w:rPr>
          <w:b/>
          <w:bCs/>
          <w:color w:val="2E5496"/>
          <w:sz w:val="21"/>
          <w:szCs w:val="21"/>
        </w:rPr>
        <w:t xml:space="preserve">Main findings: </w:t>
      </w:r>
      <w:r>
        <w:rPr>
          <w:sz w:val="21"/>
          <w:szCs w:val="21"/>
        </w:rPr>
        <w:t xml:space="preserve">Price equals the belief of the marginal trader, not the average; under uniform beliefs price and mean can diverge materially, so naive probability readings can be biased.</w:t>
      </w:r>
    </w:p>
    <w:p>
      <w:pPr>
        <w:spacing w:after="100" w:line="272"/>
      </w:pPr>
      <w:r>
        <w:rPr>
          <w:b/>
          <w:bCs/>
          <w:color w:val="2E5496"/>
          <w:sz w:val="21"/>
          <w:szCs w:val="21"/>
        </w:rPr>
        <w:t xml:space="preserve">Data: </w:t>
      </w:r>
      <w:r>
        <w:rPr>
          <w:sz w:val="21"/>
          <w:szCs w:val="21"/>
        </w:rPr>
        <w:t xml:space="preserve">None — theoretical.</w:t>
      </w:r>
    </w:p>
    <w:p>
      <w:pPr>
        <w:spacing w:after="100" w:line="272"/>
      </w:pPr>
      <w:r>
        <w:rPr>
          <w:b/>
          <w:bCs/>
          <w:color w:val="2E5496"/>
          <w:sz w:val="21"/>
          <w:szCs w:val="21"/>
        </w:rPr>
        <w:t xml:space="preserve">Methodology: </w:t>
      </w:r>
      <w:r>
        <w:rPr>
          <w:sz w:val="21"/>
          <w:szCs w:val="21"/>
        </w:rPr>
        <w:t xml:space="preserve">Simple analytic model of contract demand under heterogeneous beliefs.</w:t>
      </w:r>
    </w:p>
    <w:p>
      <w:pPr>
        <w:spacing w:after="100" w:line="272"/>
      </w:pPr>
      <w:r>
        <w:rPr>
          <w:b/>
          <w:bCs/>
          <w:color w:val="2E5496"/>
          <w:sz w:val="21"/>
          <w:szCs w:val="21"/>
        </w:rPr>
        <w:t xml:space="preserve">Key limitations: </w:t>
      </w:r>
      <w:r>
        <w:rPr>
          <w:sz w:val="21"/>
          <w:szCs w:val="21"/>
        </w:rPr>
        <w:t xml:space="preserve">Deliberately minimal model; later work showed the divergence is modest for realistic distributions.</w:t>
      </w:r>
    </w:p>
    <w:p>
      <w:pPr>
        <w:spacing w:after="100" w:line="272"/>
      </w:pPr>
      <w:r>
        <w:rPr>
          <w:b/>
          <w:bCs/>
          <w:color w:val="2E5496"/>
          <w:sz w:val="21"/>
          <w:szCs w:val="21"/>
        </w:rPr>
        <w:t xml:space="preserve">Relevance to Kalshi: </w:t>
      </w:r>
      <w:r>
        <w:rPr>
          <w:sz w:val="21"/>
          <w:szCs w:val="21"/>
        </w:rPr>
        <w:t xml:space="preserve">A caution flag: Kalshi prices reflect the marginal (often best-informed 'Maker') trader, which is precisely the mechanism Bürgi–Deng–Whelan later formalize.</w:t>
      </w:r>
    </w:p>
    <w:p>
      <w:pPr>
        <w:spacing w:after="100" w:line="272"/>
      </w:pPr>
      <w:r>
        <w:rPr>
          <w:b/>
          <w:bCs/>
          <w:color w:val="2E5496"/>
          <w:sz w:val="21"/>
          <w:szCs w:val="21"/>
        </w:rPr>
        <w:t xml:space="preserve">Strategy ideas: </w:t>
      </w:r>
      <w:r>
        <w:rPr>
          <w:sz w:val="21"/>
          <w:szCs w:val="21"/>
        </w:rPr>
        <w:t xml:space="preserve">Model the marginal-trader wedge explicitly; in thin Kalshi markets treat price as a biased estimator and correct using historical realized-frequency-vs-price curves.</w:t>
      </w:r>
    </w:p>
    <w:p>
      <w:pPr>
        <w:pStyle w:val="Heading3"/>
        <w:spacing w:after="80" w:before="200"/>
      </w:pPr>
      <w:r>
        <w:rPr>
          <w:b/>
          <w:bCs/>
          <w:color w:val="1F3864"/>
          <w:sz w:val="23"/>
          <w:szCs w:val="23"/>
        </w:rPr>
        <w:t xml:space="preserve">[4] Combinatorial Information Market Design / Logarithmic Market Scoring Rules (LMSR)</w:t>
      </w:r>
    </w:p>
    <w:p>
      <w:pPr>
        <w:spacing w:after="100" w:line="272"/>
      </w:pPr>
      <w:r>
        <w:rPr>
          <w:b/>
          <w:bCs/>
          <w:color w:val="2E5496"/>
          <w:sz w:val="21"/>
          <w:szCs w:val="21"/>
        </w:rPr>
        <w:t xml:space="preserve">Authors: </w:t>
      </w:r>
      <w:r>
        <w:rPr>
          <w:sz w:val="21"/>
          <w:szCs w:val="21"/>
        </w:rPr>
        <w:t xml:space="preserve">Robin Hanson</w:t>
      </w:r>
    </w:p>
    <w:p>
      <w:pPr>
        <w:spacing w:after="100" w:line="272"/>
      </w:pPr>
      <w:r>
        <w:rPr>
          <w:b/>
          <w:bCs/>
          <w:color w:val="2E5496"/>
          <w:sz w:val="21"/>
          <w:szCs w:val="21"/>
        </w:rPr>
        <w:t xml:space="preserve">Year / Venue: </w:t>
      </w:r>
      <w:r>
        <w:rPr>
          <w:sz w:val="21"/>
          <w:szCs w:val="21"/>
        </w:rPr>
        <w:t xml:space="preserve">2003 / 2007 — Information Systems Frontiers 5(1); J. of Prediction Markets 1(1)</w:t>
      </w:r>
    </w:p>
    <w:p>
      <w:pPr>
        <w:spacing w:after="100" w:line="272"/>
      </w:pPr>
      <w:r>
        <w:rPr>
          <w:b/>
          <w:bCs/>
          <w:color w:val="2E5496"/>
          <w:sz w:val="21"/>
          <w:szCs w:val="21"/>
        </w:rPr>
        <w:t xml:space="preserve">Type / Peer-reviewed: </w:t>
      </w:r>
      <w:r>
        <w:rPr>
          <w:sz w:val="21"/>
          <w:szCs w:val="21"/>
        </w:rPr>
        <w:t xml:space="preserve">Peer-reviewed journal articles · Peer-reviewed: Yes · Approx. citations: ~1,300 (GS)</w:t>
      </w:r>
    </w:p>
    <w:p>
      <w:pPr>
        <w:spacing w:after="120"/>
      </w:pPr>
      <w:r>
        <w:rPr>
          <w:b/>
          <w:bCs/>
          <w:color w:val="2E5496"/>
          <w:sz w:val="21"/>
          <w:szCs w:val="21"/>
        </w:rPr>
        <w:t xml:space="preserve">Link: </w:t>
      </w:r>
      <w:hyperlink w:history="1" r:id="rIdwlcbqub8n-e0aqyedgyzh">
        <w:r>
          <w:rPr>
            <w:rStyle w:val="Hyperlink"/>
            <w:sz w:val="21"/>
            <w:szCs w:val="21"/>
          </w:rPr>
          <w:t xml:space="preserve">https://mason.gmu.edu/~rhanson/mktscore.pdf</w:t>
        </w:r>
      </w:hyperlink>
    </w:p>
    <w:p>
      <w:pPr>
        <w:spacing w:after="100" w:line="272"/>
      </w:pPr>
      <w:r>
        <w:rPr>
          <w:b/>
          <w:bCs/>
          <w:color w:val="2E5496"/>
          <w:sz w:val="21"/>
          <w:szCs w:val="21"/>
        </w:rPr>
        <w:t xml:space="preserve">Summary: </w:t>
      </w:r>
      <w:r>
        <w:rPr>
          <w:sz w:val="21"/>
          <w:szCs w:val="21"/>
        </w:rPr>
        <w:t xml:space="preserve">Introduces the logarithmic market scoring rule, the automated market maker that underpins most modern always-on prediction markets (Manifold, Augur, and the design logic behind AMM-style venues). The LMSR provides infinite liquidity, always maintains a coherent probability distribution over outcomes, and caps the operator's worst-case subsidy loss at b·ln(n).</w:t>
      </w:r>
    </w:p>
    <w:p>
      <w:pPr>
        <w:spacing w:after="100" w:line="272"/>
      </w:pPr>
      <w:r>
        <w:rPr>
          <w:b/>
          <w:bCs/>
          <w:color w:val="2E5496"/>
          <w:sz w:val="21"/>
          <w:szCs w:val="21"/>
        </w:rPr>
        <w:t xml:space="preserve">Main findings: </w:t>
      </w:r>
      <w:r>
        <w:rPr>
          <w:sz w:val="21"/>
          <w:szCs w:val="21"/>
        </w:rPr>
        <w:t xml:space="preserve">A single scoring-rule market maker can subsidize liquidity in thin markets with bounded loss and keep prices arbitrage-free across combinatorial outcomes.</w:t>
      </w:r>
    </w:p>
    <w:p>
      <w:pPr>
        <w:spacing w:after="100" w:line="272"/>
      </w:pPr>
      <w:r>
        <w:rPr>
          <w:b/>
          <w:bCs/>
          <w:color w:val="2E5496"/>
          <w:sz w:val="21"/>
          <w:szCs w:val="21"/>
        </w:rPr>
        <w:t xml:space="preserve">Data: </w:t>
      </w:r>
      <w:r>
        <w:rPr>
          <w:sz w:val="21"/>
          <w:szCs w:val="21"/>
        </w:rPr>
        <w:t xml:space="preserve">None — mechanism design.</w:t>
      </w:r>
    </w:p>
    <w:p>
      <w:pPr>
        <w:spacing w:after="100" w:line="272"/>
      </w:pPr>
      <w:r>
        <w:rPr>
          <w:b/>
          <w:bCs/>
          <w:color w:val="2E5496"/>
          <w:sz w:val="21"/>
          <w:szCs w:val="21"/>
        </w:rPr>
        <w:t xml:space="preserve">Methodology: </w:t>
      </w:r>
      <w:r>
        <w:rPr>
          <w:sz w:val="21"/>
          <w:szCs w:val="21"/>
        </w:rPr>
        <w:t xml:space="preserve">Proper-scoring-rule theory translated into a cost-function market maker.</w:t>
      </w:r>
    </w:p>
    <w:p>
      <w:pPr>
        <w:spacing w:after="100" w:line="272"/>
      </w:pPr>
      <w:r>
        <w:rPr>
          <w:b/>
          <w:bCs/>
          <w:color w:val="2E5496"/>
          <w:sz w:val="21"/>
          <w:szCs w:val="21"/>
        </w:rPr>
        <w:t xml:space="preserve">Key limitations: </w:t>
      </w:r>
      <w:r>
        <w:rPr>
          <w:sz w:val="21"/>
          <w:szCs w:val="21"/>
        </w:rPr>
        <w:t xml:space="preserve">Kalshi is order-book/quote-driven, not LMSR, so the mechanism differs; LMSR gives a benchmark, not a description of Kalshi.</w:t>
      </w:r>
    </w:p>
    <w:p>
      <w:pPr>
        <w:spacing w:after="100" w:line="272"/>
      </w:pPr>
      <w:r>
        <w:rPr>
          <w:b/>
          <w:bCs/>
          <w:color w:val="2E5496"/>
          <w:sz w:val="21"/>
          <w:szCs w:val="21"/>
        </w:rPr>
        <w:t xml:space="preserve">Relevance to Kalshi: </w:t>
      </w:r>
      <w:r>
        <w:rPr>
          <w:sz w:val="21"/>
          <w:szCs w:val="21"/>
        </w:rPr>
        <w:t xml:space="preserve">Explains the liquidity-provision economics against which Kalshi's Maker/Taker order book competes, and how a market maker's b parameter maps to price impact — useful for modeling depth on Kalshi.</w:t>
      </w:r>
    </w:p>
    <w:p>
      <w:pPr>
        <w:spacing w:after="100" w:line="272"/>
      </w:pPr>
      <w:r>
        <w:rPr>
          <w:b/>
          <w:bCs/>
          <w:color w:val="2E5496"/>
          <w:sz w:val="21"/>
          <w:szCs w:val="21"/>
        </w:rPr>
        <w:t xml:space="preserve">Strategy ideas: </w:t>
      </w:r>
      <w:r>
        <w:rPr>
          <w:sz w:val="21"/>
          <w:szCs w:val="21"/>
        </w:rPr>
        <w:t xml:space="preserve">Fit an implied cost-function/liquidity parameter to Kalshi order books to quantify price impact and size positions where depth is deepest.</w:t>
      </w:r>
    </w:p>
    <w:p>
      <w:pPr>
        <w:pStyle w:val="Heading2"/>
        <w:spacing w:after="120" w:before="240"/>
      </w:pPr>
      <w:r>
        <w:rPr>
          <w:b/>
          <w:bCs/>
          <w:color w:val="2E5496"/>
          <w:sz w:val="26"/>
          <w:szCs w:val="26"/>
        </w:rPr>
        <w:t xml:space="preserve">Section B — Forecast Accuracy &amp; Calibration</w:t>
      </w:r>
    </w:p>
    <w:p>
      <w:pPr>
        <w:pStyle w:val="Heading3"/>
        <w:spacing w:after="80" w:before="200"/>
      </w:pPr>
      <w:r>
        <w:rPr>
          <w:b/>
          <w:bCs/>
          <w:color w:val="1F3864"/>
          <w:sz w:val="23"/>
          <w:szCs w:val="23"/>
        </w:rPr>
        <w:t xml:space="preserve">[5] Prediction Market Accuracy in the Long Run</w:t>
      </w:r>
    </w:p>
    <w:p>
      <w:pPr>
        <w:spacing w:after="100" w:line="272"/>
      </w:pPr>
      <w:r>
        <w:rPr>
          <w:b/>
          <w:bCs/>
          <w:color w:val="2E5496"/>
          <w:sz w:val="21"/>
          <w:szCs w:val="21"/>
        </w:rPr>
        <w:t xml:space="preserve">Authors: </w:t>
      </w:r>
      <w:r>
        <w:rPr>
          <w:sz w:val="21"/>
          <w:szCs w:val="21"/>
        </w:rPr>
        <w:t xml:space="preserve">Joyce Berg, Forrest Nelson &amp; Thomas Rietz</w:t>
      </w:r>
    </w:p>
    <w:p>
      <w:pPr>
        <w:spacing w:after="100" w:line="272"/>
      </w:pPr>
      <w:r>
        <w:rPr>
          <w:b/>
          <w:bCs/>
          <w:color w:val="2E5496"/>
          <w:sz w:val="21"/>
          <w:szCs w:val="21"/>
        </w:rPr>
        <w:t xml:space="preserve">Year / Venue: </w:t>
      </w:r>
      <w:r>
        <w:rPr>
          <w:sz w:val="21"/>
          <w:szCs w:val="21"/>
        </w:rPr>
        <w:t xml:space="preserve">2008 — International Journal of Forecasting, 24(2), 285–300</w:t>
      </w:r>
    </w:p>
    <w:p>
      <w:pPr>
        <w:spacing w:after="100" w:line="272"/>
      </w:pPr>
      <w:r>
        <w:rPr>
          <w:b/>
          <w:bCs/>
          <w:color w:val="2E5496"/>
          <w:sz w:val="21"/>
          <w:szCs w:val="21"/>
        </w:rPr>
        <w:t xml:space="preserve">Type / Peer-reviewed: </w:t>
      </w:r>
      <w:r>
        <w:rPr>
          <w:sz w:val="21"/>
          <w:szCs w:val="21"/>
        </w:rPr>
        <w:t xml:space="preserve">Peer-reviewed journal article · Peer-reviewed: Yes · Approx. citations: ~500 (GS)</w:t>
      </w:r>
    </w:p>
    <w:p>
      <w:pPr>
        <w:spacing w:after="120"/>
      </w:pPr>
      <w:r>
        <w:rPr>
          <w:b/>
          <w:bCs/>
          <w:color w:val="2E5496"/>
          <w:sz w:val="21"/>
          <w:szCs w:val="21"/>
        </w:rPr>
        <w:t xml:space="preserve">Link: </w:t>
      </w:r>
      <w:hyperlink w:history="1" r:id="rId3uzmsdtdgyrpbkmvvsgdt">
        <w:r>
          <w:rPr>
            <w:rStyle w:val="Hyperlink"/>
            <w:sz w:val="21"/>
            <w:szCs w:val="21"/>
          </w:rPr>
          <w:t xml:space="preserve">https://www.sciencedirect.com/science/article/abs/pii/S0169207008000320</w:t>
        </w:r>
      </w:hyperlink>
    </w:p>
    <w:p>
      <w:pPr>
        <w:spacing w:after="100" w:line="272"/>
      </w:pPr>
      <w:r>
        <w:rPr>
          <w:b/>
          <w:bCs/>
          <w:color w:val="2E5496"/>
          <w:sz w:val="21"/>
          <w:szCs w:val="21"/>
        </w:rPr>
        <w:t xml:space="preserve">Summary: </w:t>
      </w:r>
      <w:r>
        <w:rPr>
          <w:sz w:val="21"/>
          <w:szCs w:val="21"/>
        </w:rPr>
        <w:t xml:space="preserve">The definitive long-horizon accuracy study of the Iowa Electronic Markets. Across decades of election contracts, vote-share market prices beat contemporaneous polls as forecasts about three-quarters of the time, and the market's edge grows the further ahead of election day you look. Election-eve average absolute errors are small (≈1.4% for US presidential races).</w:t>
      </w:r>
    </w:p>
    <w:p>
      <w:pPr>
        <w:spacing w:after="100" w:line="272"/>
      </w:pPr>
      <w:r>
        <w:rPr>
          <w:b/>
          <w:bCs/>
          <w:color w:val="2E5496"/>
          <w:sz w:val="21"/>
          <w:szCs w:val="21"/>
        </w:rPr>
        <w:t xml:space="preserve">Main findings: </w:t>
      </w:r>
      <w:r>
        <w:rPr>
          <w:sz w:val="21"/>
          <w:szCs w:val="21"/>
        </w:rPr>
        <w:t xml:space="preserve">IEM prices outperform polls 74% of the time and are especially superior far from the event; accuracy improves as expiration approaches.</w:t>
      </w:r>
    </w:p>
    <w:p>
      <w:pPr>
        <w:spacing w:after="100" w:line="272"/>
      </w:pPr>
      <w:r>
        <w:rPr>
          <w:b/>
          <w:bCs/>
          <w:color w:val="2E5496"/>
          <w:sz w:val="21"/>
          <w:szCs w:val="21"/>
        </w:rPr>
        <w:t xml:space="preserve">Data: </w:t>
      </w:r>
      <w:r>
        <w:rPr>
          <w:sz w:val="21"/>
          <w:szCs w:val="21"/>
        </w:rPr>
        <w:t xml:space="preserve">IEM vote-share and winner-take-all contracts, multiple US and international elections, 1988–2004.</w:t>
      </w:r>
    </w:p>
    <w:p>
      <w:pPr>
        <w:spacing w:after="100" w:line="272"/>
      </w:pPr>
      <w:r>
        <w:rPr>
          <w:b/>
          <w:bCs/>
          <w:color w:val="2E5496"/>
          <w:sz w:val="21"/>
          <w:szCs w:val="21"/>
        </w:rPr>
        <w:t xml:space="preserve">Methodology: </w:t>
      </w:r>
      <w:r>
        <w:rPr>
          <w:sz w:val="21"/>
          <w:szCs w:val="21"/>
        </w:rPr>
        <w:t xml:space="preserve">Compares market prices to poll-based forecasts by absolute error and horizon.</w:t>
      </w:r>
    </w:p>
    <w:p>
      <w:pPr>
        <w:spacing w:after="100" w:line="272"/>
      </w:pPr>
      <w:r>
        <w:rPr>
          <w:b/>
          <w:bCs/>
          <w:color w:val="2E5496"/>
          <w:sz w:val="21"/>
          <w:szCs w:val="21"/>
        </w:rPr>
        <w:t xml:space="preserve">Key limitations: </w:t>
      </w:r>
      <w:r>
        <w:rPr>
          <w:sz w:val="21"/>
          <w:szCs w:val="21"/>
        </w:rPr>
        <w:t xml:space="preserve">IEM is a small-stake academic market; results may not transfer to fee-bearing retail venues like Kalshi.</w:t>
      </w:r>
    </w:p>
    <w:p>
      <w:pPr>
        <w:spacing w:after="100" w:line="272"/>
      </w:pPr>
      <w:r>
        <w:rPr>
          <w:b/>
          <w:bCs/>
          <w:color w:val="2E5496"/>
          <w:sz w:val="21"/>
          <w:szCs w:val="21"/>
        </w:rPr>
        <w:t xml:space="preserve">Relevance to Kalshi: </w:t>
      </w:r>
      <w:r>
        <w:rPr>
          <w:sz w:val="21"/>
          <w:szCs w:val="21"/>
        </w:rPr>
        <w:t xml:space="preserve">Establishes the 'markets beat polls, and more so early' stylized fact directly relevant to Kalshi election and macro contracts.</w:t>
      </w:r>
    </w:p>
    <w:p>
      <w:pPr>
        <w:spacing w:after="100" w:line="272"/>
      </w:pPr>
      <w:r>
        <w:rPr>
          <w:b/>
          <w:bCs/>
          <w:color w:val="2E5496"/>
          <w:sz w:val="21"/>
          <w:szCs w:val="21"/>
        </w:rPr>
        <w:t xml:space="preserve">Strategy ideas: </w:t>
      </w:r>
      <w:r>
        <w:rPr>
          <w:sz w:val="21"/>
          <w:szCs w:val="21"/>
        </w:rPr>
        <w:t xml:space="preserve">Trade the poll-vs-market gap: when Kalshi diverges from a poll-aggregation model far from resolution, bias toward the market; the edge decays near expiry.</w:t>
      </w:r>
    </w:p>
    <w:p>
      <w:pPr>
        <w:pStyle w:val="Heading3"/>
        <w:spacing w:after="80" w:before="200"/>
      </w:pPr>
      <w:r>
        <w:rPr>
          <w:b/>
          <w:bCs/>
          <w:color w:val="1F3864"/>
          <w:sz w:val="23"/>
          <w:szCs w:val="23"/>
        </w:rPr>
        <w:t xml:space="preserve">[6] Do Prediction Markets Produce Well-Calibrated Probability Forecasts?</w:t>
      </w:r>
    </w:p>
    <w:p>
      <w:pPr>
        <w:spacing w:after="100" w:line="272"/>
      </w:pPr>
      <w:r>
        <w:rPr>
          <w:b/>
          <w:bCs/>
          <w:color w:val="2E5496"/>
          <w:sz w:val="21"/>
          <w:szCs w:val="21"/>
        </w:rPr>
        <w:t xml:space="preserve">Authors: </w:t>
      </w:r>
      <w:r>
        <w:rPr>
          <w:sz w:val="21"/>
          <w:szCs w:val="21"/>
        </w:rPr>
        <w:t xml:space="preserve">Lionel Page &amp; Robert T. Clemen</w:t>
      </w:r>
    </w:p>
    <w:p>
      <w:pPr>
        <w:spacing w:after="100" w:line="272"/>
      </w:pPr>
      <w:r>
        <w:rPr>
          <w:b/>
          <w:bCs/>
          <w:color w:val="2E5496"/>
          <w:sz w:val="21"/>
          <w:szCs w:val="21"/>
        </w:rPr>
        <w:t xml:space="preserve">Year / Venue: </w:t>
      </w:r>
      <w:r>
        <w:rPr>
          <w:sz w:val="21"/>
          <w:szCs w:val="21"/>
        </w:rPr>
        <w:t xml:space="preserve">2013 — The Economic Journal, 123(568), 491–513</w:t>
      </w:r>
    </w:p>
    <w:p>
      <w:pPr>
        <w:spacing w:after="100" w:line="272"/>
      </w:pPr>
      <w:r>
        <w:rPr>
          <w:b/>
          <w:bCs/>
          <w:color w:val="2E5496"/>
          <w:sz w:val="21"/>
          <w:szCs w:val="21"/>
        </w:rPr>
        <w:t xml:space="preserve">Type / Peer-reviewed: </w:t>
      </w:r>
      <w:r>
        <w:rPr>
          <w:sz w:val="21"/>
          <w:szCs w:val="21"/>
        </w:rPr>
        <w:t xml:space="preserve">Peer-reviewed journal article · Peer-reviewed: Yes · Approx. citations: ~200 (GS)</w:t>
      </w:r>
    </w:p>
    <w:p>
      <w:pPr>
        <w:spacing w:after="120"/>
      </w:pPr>
      <w:r>
        <w:rPr>
          <w:b/>
          <w:bCs/>
          <w:color w:val="2E5496"/>
          <w:sz w:val="21"/>
          <w:szCs w:val="21"/>
        </w:rPr>
        <w:t xml:space="preserve">Link: </w:t>
      </w:r>
      <w:hyperlink w:history="1" r:id="rIdbadhv4scgje2kaw3at77d">
        <w:r>
          <w:rPr>
            <w:rStyle w:val="Hyperlink"/>
            <w:sz w:val="21"/>
            <w:szCs w:val="21"/>
          </w:rPr>
          <w:t xml:space="preserve">https://academic.oup.com/ej/article-abstract/123/568/491/5079498</w:t>
        </w:r>
      </w:hyperlink>
    </w:p>
    <w:p>
      <w:pPr>
        <w:spacing w:after="100" w:line="272"/>
      </w:pPr>
      <w:r>
        <w:rPr>
          <w:b/>
          <w:bCs/>
          <w:color w:val="2E5496"/>
          <w:sz w:val="21"/>
          <w:szCs w:val="21"/>
        </w:rPr>
        <w:t xml:space="preserve">Summary: </w:t>
      </w:r>
      <w:r>
        <w:rPr>
          <w:sz w:val="21"/>
          <w:szCs w:val="21"/>
        </w:rPr>
        <w:t xml:space="preserve">The key calibration study. Using a large set of Intrade contracts, the authors show markets are close to well-calibrated when time to expiration is short, but prices are significantly biased when the horizon is long — high-likelihood events are underpriced and low-likelihood events overpriced. Crucially, this favorite-longshot distortion grows with time-to-expiration.</w:t>
      </w:r>
    </w:p>
    <w:p>
      <w:pPr>
        <w:spacing w:after="100" w:line="272"/>
      </w:pPr>
      <w:r>
        <w:rPr>
          <w:b/>
          <w:bCs/>
          <w:color w:val="2E5496"/>
          <w:sz w:val="21"/>
          <w:szCs w:val="21"/>
        </w:rPr>
        <w:t xml:space="preserve">Main findings: </w:t>
      </w:r>
      <w:r>
        <w:rPr>
          <w:sz w:val="21"/>
          <w:szCs w:val="21"/>
        </w:rPr>
        <w:t xml:space="preserve">Calibration is horizon-dependent: good near expiry, biased far out, with a systematic favorite-longshot pattern that widens with horizon.</w:t>
      </w:r>
    </w:p>
    <w:p>
      <w:pPr>
        <w:spacing w:after="100" w:line="272"/>
      </w:pPr>
      <w:r>
        <w:rPr>
          <w:b/>
          <w:bCs/>
          <w:color w:val="2E5496"/>
          <w:sz w:val="21"/>
          <w:szCs w:val="21"/>
        </w:rPr>
        <w:t xml:space="preserve">Data: </w:t>
      </w:r>
      <w:r>
        <w:rPr>
          <w:sz w:val="21"/>
          <w:szCs w:val="21"/>
        </w:rPr>
        <w:t xml:space="preserve">Thousands of Intrade contracts across categories with known outcomes.</w:t>
      </w:r>
    </w:p>
    <w:p>
      <w:pPr>
        <w:spacing w:after="100" w:line="272"/>
      </w:pPr>
      <w:r>
        <w:rPr>
          <w:b/>
          <w:bCs/>
          <w:color w:val="2E5496"/>
          <w:sz w:val="21"/>
          <w:szCs w:val="21"/>
        </w:rPr>
        <w:t xml:space="preserve">Methodology: </w:t>
      </w:r>
      <w:r>
        <w:rPr>
          <w:sz w:val="21"/>
          <w:szCs w:val="21"/>
        </w:rPr>
        <w:t xml:space="preserve">Empirical calibration curves and a theoretical model linking horizon to bias.</w:t>
      </w:r>
    </w:p>
    <w:p>
      <w:pPr>
        <w:spacing w:after="100" w:line="272"/>
      </w:pPr>
      <w:r>
        <w:rPr>
          <w:b/>
          <w:bCs/>
          <w:color w:val="2E5496"/>
          <w:sz w:val="21"/>
          <w:szCs w:val="21"/>
        </w:rPr>
        <w:t xml:space="preserve">Key limitations: </w:t>
      </w:r>
      <w:r>
        <w:rPr>
          <w:sz w:val="21"/>
          <w:szCs w:val="21"/>
        </w:rPr>
        <w:t xml:space="preserve">Intrade-specific era; fee/microstructure differences from Kalshi; category composition affects results.</w:t>
      </w:r>
    </w:p>
    <w:p>
      <w:pPr>
        <w:spacing w:after="100" w:line="272"/>
      </w:pPr>
      <w:r>
        <w:rPr>
          <w:b/>
          <w:bCs/>
          <w:color w:val="2E5496"/>
          <w:sz w:val="21"/>
          <w:szCs w:val="21"/>
        </w:rPr>
        <w:t xml:space="preserve">Relevance to Kalshi: </w:t>
      </w:r>
      <w:r>
        <w:rPr>
          <w:sz w:val="21"/>
          <w:szCs w:val="21"/>
        </w:rPr>
        <w:t xml:space="preserve">Directly predicts where Kalshi mispricing should be largest — long-dated contracts and extreme prices — giving a map of where to hunt for edge.</w:t>
      </w:r>
    </w:p>
    <w:p>
      <w:pPr>
        <w:spacing w:after="100" w:line="272"/>
      </w:pPr>
      <w:r>
        <w:rPr>
          <w:b/>
          <w:bCs/>
          <w:color w:val="2E5496"/>
          <w:sz w:val="21"/>
          <w:szCs w:val="21"/>
        </w:rPr>
        <w:t xml:space="preserve">Strategy ideas: </w:t>
      </w:r>
      <w:r>
        <w:rPr>
          <w:sz w:val="21"/>
          <w:szCs w:val="21"/>
        </w:rPr>
        <w:t xml:space="preserve">Build a horizon-conditioned calibration model; systematically fade far-dated longshots and buy far-dated heavy favorites, tightening as expiry nears.</w:t>
      </w:r>
    </w:p>
    <w:p>
      <w:pPr>
        <w:pStyle w:val="Heading3"/>
        <w:spacing w:after="80" w:before="200"/>
      </w:pPr>
      <w:r>
        <w:rPr>
          <w:b/>
          <w:bCs/>
          <w:color w:val="1F3864"/>
          <w:sz w:val="23"/>
          <w:szCs w:val="23"/>
        </w:rPr>
        <w:t xml:space="preserve">[7] Do LLMs Know What They Don't Know? KalshiBench: Evaluating Epistemic Calibration via Prediction Markets</w:t>
      </w:r>
    </w:p>
    <w:p>
      <w:pPr>
        <w:spacing w:after="100" w:line="272"/>
      </w:pPr>
      <w:r>
        <w:rPr>
          <w:b/>
          <w:bCs/>
          <w:color w:val="2E5496"/>
          <w:sz w:val="21"/>
          <w:szCs w:val="21"/>
        </w:rPr>
        <w:t xml:space="preserve">Authors: </w:t>
      </w:r>
      <w:r>
        <w:rPr>
          <w:sz w:val="21"/>
          <w:szCs w:val="21"/>
        </w:rPr>
        <w:t xml:space="preserve">Lukas Nel</w:t>
      </w:r>
    </w:p>
    <w:p>
      <w:pPr>
        <w:spacing w:after="100" w:line="272"/>
      </w:pPr>
      <w:r>
        <w:rPr>
          <w:b/>
          <w:bCs/>
          <w:color w:val="2E5496"/>
          <w:sz w:val="21"/>
          <w:szCs w:val="21"/>
        </w:rPr>
        <w:t xml:space="preserve">Year / Venue: </w:t>
      </w:r>
      <w:r>
        <w:rPr>
          <w:sz w:val="21"/>
          <w:szCs w:val="21"/>
        </w:rPr>
        <w:t xml:space="preserve">2025 — arXiv:2512.16030</w:t>
      </w:r>
    </w:p>
    <w:p>
      <w:pPr>
        <w:spacing w:after="100" w:line="272"/>
      </w:pPr>
      <w:r>
        <w:rPr>
          <w:b/>
          <w:bCs/>
          <w:color w:val="2E5496"/>
          <w:sz w:val="21"/>
          <w:szCs w:val="21"/>
        </w:rPr>
        <w:t xml:space="preserve">Type / Peer-reviewed: </w:t>
      </w:r>
      <w:r>
        <w:rPr>
          <w:sz w:val="21"/>
          <w:szCs w:val="21"/>
        </w:rPr>
        <w:t xml:space="preserve">Preprint (arXiv) · Peer-reviewed: No (preprint) · Approx. citations: New (n/a)</w:t>
      </w:r>
    </w:p>
    <w:p>
      <w:pPr>
        <w:spacing w:after="120"/>
      </w:pPr>
      <w:r>
        <w:rPr>
          <w:b/>
          <w:bCs/>
          <w:color w:val="2E5496"/>
          <w:sz w:val="21"/>
          <w:szCs w:val="21"/>
        </w:rPr>
        <w:t xml:space="preserve">Link: </w:t>
      </w:r>
      <w:hyperlink w:history="1" r:id="rIdpfedavabrr843sguyrle-">
        <w:r>
          <w:rPr>
            <w:rStyle w:val="Hyperlink"/>
            <w:sz w:val="21"/>
            <w:szCs w:val="21"/>
          </w:rPr>
          <w:t xml:space="preserve">https://arxiv.org/abs/2512.16030</w:t>
        </w:r>
      </w:hyperlink>
    </w:p>
    <w:p>
      <w:pPr>
        <w:spacing w:after="100" w:line="272"/>
      </w:pPr>
      <w:r>
        <w:rPr>
          <w:b/>
          <w:bCs/>
          <w:color w:val="2E5496"/>
          <w:sz w:val="21"/>
          <w:szCs w:val="21"/>
        </w:rPr>
        <w:t xml:space="preserve">Summary: </w:t>
      </w:r>
      <w:r>
        <w:rPr>
          <w:sz w:val="21"/>
          <w:szCs w:val="21"/>
        </w:rPr>
        <w:t xml:space="preserve">Builds a 300-question benchmark from Kalshi contracts that resolve after model training cutoffs, testing whether frontier LLMs can quantify uncertainty about genuinely unknown future events. All five models tested are systematically overconfident, and most do worse than simply predicting base rates. Strikingly, more capable 'reasoning' models are worse calibrated, not better.</w:t>
      </w:r>
    </w:p>
    <w:p>
      <w:pPr>
        <w:spacing w:after="100" w:line="272"/>
      </w:pPr>
      <w:r>
        <w:rPr>
          <w:b/>
          <w:bCs/>
          <w:color w:val="2E5496"/>
          <w:sz w:val="21"/>
          <w:szCs w:val="21"/>
        </w:rPr>
        <w:t xml:space="preserve">Main findings: </w:t>
      </w:r>
      <w:r>
        <w:rPr>
          <w:sz w:val="21"/>
          <w:szCs w:val="21"/>
        </w:rPr>
        <w:t xml:space="preserve">LLMs are overconfident forecasters of real future events; added reasoning capacity does not fix (and can worsen) calibration; base rates are a hard-to-beat baseline.</w:t>
      </w:r>
    </w:p>
    <w:p>
      <w:pPr>
        <w:spacing w:after="100" w:line="272"/>
      </w:pPr>
      <w:r>
        <w:rPr>
          <w:b/>
          <w:bCs/>
          <w:color w:val="2E5496"/>
          <w:sz w:val="21"/>
          <w:szCs w:val="21"/>
        </w:rPr>
        <w:t xml:space="preserve">Data: </w:t>
      </w:r>
      <w:r>
        <w:rPr>
          <w:sz w:val="21"/>
          <w:szCs w:val="21"/>
        </w:rPr>
        <w:t xml:space="preserve">300 Kalshi questions with verifiable post-cutoff outcomes.</w:t>
      </w:r>
    </w:p>
    <w:p>
      <w:pPr>
        <w:spacing w:after="100" w:line="272"/>
      </w:pPr>
      <w:r>
        <w:rPr>
          <w:b/>
          <w:bCs/>
          <w:color w:val="2E5496"/>
          <w:sz w:val="21"/>
          <w:szCs w:val="21"/>
        </w:rPr>
        <w:t xml:space="preserve">Methodology: </w:t>
      </w:r>
      <w:r>
        <w:rPr>
          <w:sz w:val="21"/>
          <w:szCs w:val="21"/>
        </w:rPr>
        <w:t xml:space="preserve">Elicit model probabilities; score calibration/accuracy vs. base rates and market prices.</w:t>
      </w:r>
    </w:p>
    <w:p>
      <w:pPr>
        <w:spacing w:after="100" w:line="272"/>
      </w:pPr>
      <w:r>
        <w:rPr>
          <w:b/>
          <w:bCs/>
          <w:color w:val="2E5496"/>
          <w:sz w:val="21"/>
          <w:szCs w:val="21"/>
        </w:rPr>
        <w:t xml:space="preserve">Key limitations: </w:t>
      </w:r>
      <w:r>
        <w:rPr>
          <w:sz w:val="21"/>
          <w:szCs w:val="21"/>
        </w:rPr>
        <w:t xml:space="preserve">Small sample; single snapshot of models; no trading/backtest, only forecast scoring.</w:t>
      </w:r>
    </w:p>
    <w:p>
      <w:pPr>
        <w:spacing w:after="100" w:line="272"/>
      </w:pPr>
      <w:r>
        <w:rPr>
          <w:b/>
          <w:bCs/>
          <w:color w:val="2E5496"/>
          <w:sz w:val="21"/>
          <w:szCs w:val="21"/>
        </w:rPr>
        <w:t xml:space="preserve">Relevance to Kalshi: </w:t>
      </w:r>
      <w:r>
        <w:rPr>
          <w:sz w:val="21"/>
          <w:szCs w:val="21"/>
        </w:rPr>
        <w:t xml:space="preserve">The most directly Kalshi-native ML study to date — a cautionary result for anyone wiring an LLM straight into Kalshi trading without calibration correction.</w:t>
      </w:r>
    </w:p>
    <w:p>
      <w:pPr>
        <w:spacing w:after="100" w:line="272"/>
      </w:pPr>
      <w:r>
        <w:rPr>
          <w:b/>
          <w:bCs/>
          <w:color w:val="2E5496"/>
          <w:sz w:val="21"/>
          <w:szCs w:val="21"/>
        </w:rPr>
        <w:t xml:space="preserve">Strategy ideas: </w:t>
      </w:r>
      <w:r>
        <w:rPr>
          <w:sz w:val="21"/>
          <w:szCs w:val="21"/>
        </w:rPr>
        <w:t xml:space="preserve">Never trade raw LLM probabilities; post-hoc calibrate (isotonic/Platt) against Kalshi history, and use base-rate ensembles as a guardrail.</w:t>
      </w:r>
    </w:p>
    <w:p>
      <w:pPr>
        <w:pStyle w:val="Heading2"/>
        <w:spacing w:after="120" w:before="240"/>
      </w:pPr>
      <w:r>
        <w:rPr>
          <w:b/>
          <w:bCs/>
          <w:color w:val="2E5496"/>
          <w:sz w:val="26"/>
          <w:szCs w:val="26"/>
        </w:rPr>
        <w:t xml:space="preserve">Section C — Documented Inefficiencies &amp; Behavioral Biases</w:t>
      </w:r>
    </w:p>
    <w:p>
      <w:pPr>
        <w:pStyle w:val="Heading3"/>
        <w:spacing w:after="80" w:before="200"/>
      </w:pPr>
      <w:r>
        <w:rPr>
          <w:b/>
          <w:bCs/>
          <w:color w:val="1F3864"/>
          <w:sz w:val="23"/>
          <w:szCs w:val="23"/>
        </w:rPr>
        <w:t xml:space="preserve">[8] Explaining the Favorite-Longshot Bias: Is it Risk-Love or Misperceptions?</w:t>
      </w:r>
    </w:p>
    <w:p>
      <w:pPr>
        <w:spacing w:after="100" w:line="272"/>
      </w:pPr>
      <w:r>
        <w:rPr>
          <w:b/>
          <w:bCs/>
          <w:color w:val="2E5496"/>
          <w:sz w:val="21"/>
          <w:szCs w:val="21"/>
        </w:rPr>
        <w:t xml:space="preserve">Authors: </w:t>
      </w:r>
      <w:r>
        <w:rPr>
          <w:sz w:val="21"/>
          <w:szCs w:val="21"/>
        </w:rPr>
        <w:t xml:space="preserve">Erik Snowberg &amp; Justin Wolfers</w:t>
      </w:r>
    </w:p>
    <w:p>
      <w:pPr>
        <w:spacing w:after="100" w:line="272"/>
      </w:pPr>
      <w:r>
        <w:rPr>
          <w:b/>
          <w:bCs/>
          <w:color w:val="2E5496"/>
          <w:sz w:val="21"/>
          <w:szCs w:val="21"/>
        </w:rPr>
        <w:t xml:space="preserve">Year / Venue: </w:t>
      </w:r>
      <w:r>
        <w:rPr>
          <w:sz w:val="21"/>
          <w:szCs w:val="21"/>
        </w:rPr>
        <w:t xml:space="preserve">2010 — Journal of Political Economy, 118(4), 723–746 (NBER WP 15923)</w:t>
      </w:r>
    </w:p>
    <w:p>
      <w:pPr>
        <w:spacing w:after="100" w:line="272"/>
      </w:pPr>
      <w:r>
        <w:rPr>
          <w:b/>
          <w:bCs/>
          <w:color w:val="2E5496"/>
          <w:sz w:val="21"/>
          <w:szCs w:val="21"/>
        </w:rPr>
        <w:t xml:space="preserve">Type / Peer-reviewed: </w:t>
      </w:r>
      <w:r>
        <w:rPr>
          <w:sz w:val="21"/>
          <w:szCs w:val="21"/>
        </w:rPr>
        <w:t xml:space="preserve">Peer-reviewed journal article · Peer-reviewed: Yes · Approx. citations: ~450 (GS)</w:t>
      </w:r>
    </w:p>
    <w:p>
      <w:pPr>
        <w:spacing w:after="120"/>
      </w:pPr>
      <w:r>
        <w:rPr>
          <w:b/>
          <w:bCs/>
          <w:color w:val="2E5496"/>
          <w:sz w:val="21"/>
          <w:szCs w:val="21"/>
        </w:rPr>
        <w:t xml:space="preserve">Link: </w:t>
      </w:r>
      <w:hyperlink w:history="1" r:id="rIdclhc-4syzttukf3sxazdy">
        <w:r>
          <w:rPr>
            <w:rStyle w:val="Hyperlink"/>
            <w:sz w:val="21"/>
            <w:szCs w:val="21"/>
          </w:rPr>
          <w:t xml:space="preserve">https://www.nber.org/papers/w15923</w:t>
        </w:r>
      </w:hyperlink>
    </w:p>
    <w:p>
      <w:pPr>
        <w:spacing w:after="100" w:line="272"/>
      </w:pPr>
      <w:r>
        <w:rPr>
          <w:b/>
          <w:bCs/>
          <w:color w:val="2E5496"/>
          <w:sz w:val="21"/>
          <w:szCs w:val="21"/>
        </w:rPr>
        <w:t xml:space="preserve">Summary: </w:t>
      </w:r>
      <w:r>
        <w:rPr>
          <w:sz w:val="21"/>
          <w:szCs w:val="21"/>
        </w:rPr>
        <w:t xml:space="preserve">Uses a very large horse-racing dataset to adjudicate why longshots are overbet and favorites underbet. By comparing bettor behavior in win vs. exotic (place/show) markets, the authors show the data favor a misperceptions explanation — systematic misjudgment of small probabilities — over pure risk-love. The bias is a robust, structural feature of odds/price-based markets.</w:t>
      </w:r>
    </w:p>
    <w:p>
      <w:pPr>
        <w:spacing w:after="100" w:line="272"/>
      </w:pPr>
      <w:r>
        <w:rPr>
          <w:b/>
          <w:bCs/>
          <w:color w:val="2E5496"/>
          <w:sz w:val="21"/>
          <w:szCs w:val="21"/>
        </w:rPr>
        <w:t xml:space="preserve">Main findings: </w:t>
      </w:r>
      <w:r>
        <w:rPr>
          <w:sz w:val="21"/>
          <w:szCs w:val="21"/>
        </w:rPr>
        <w:t xml:space="preserve">Favorite-longshot bias is driven mainly by probability misperception, not rational risk-seeking; it is large, stable and predictable.</w:t>
      </w:r>
    </w:p>
    <w:p>
      <w:pPr>
        <w:spacing w:after="100" w:line="272"/>
      </w:pPr>
      <w:r>
        <w:rPr>
          <w:b/>
          <w:bCs/>
          <w:color w:val="2E5496"/>
          <w:sz w:val="21"/>
          <w:szCs w:val="21"/>
        </w:rPr>
        <w:t xml:space="preserve">Data: </w:t>
      </w:r>
      <w:r>
        <w:rPr>
          <w:sz w:val="21"/>
          <w:szCs w:val="21"/>
        </w:rPr>
        <w:t xml:space="preserve">~6.4 million horse-race starts (order of magnitude larger than prior studies).</w:t>
      </w:r>
    </w:p>
    <w:p>
      <w:pPr>
        <w:spacing w:after="100" w:line="272"/>
      </w:pPr>
      <w:r>
        <w:rPr>
          <w:b/>
          <w:bCs/>
          <w:color w:val="2E5496"/>
          <w:sz w:val="21"/>
          <w:szCs w:val="21"/>
        </w:rPr>
        <w:t xml:space="preserve">Methodology: </w:t>
      </w:r>
      <w:r>
        <w:rPr>
          <w:sz w:val="21"/>
          <w:szCs w:val="21"/>
        </w:rPr>
        <w:t xml:space="preserve">Structural discrimination between risk-preference and misperception models using cross-market restrictions.</w:t>
      </w:r>
    </w:p>
    <w:p>
      <w:pPr>
        <w:spacing w:after="100" w:line="272"/>
      </w:pPr>
      <w:r>
        <w:rPr>
          <w:b/>
          <w:bCs/>
          <w:color w:val="2E5496"/>
          <w:sz w:val="21"/>
          <w:szCs w:val="21"/>
        </w:rPr>
        <w:t xml:space="preserve">Key limitations: </w:t>
      </w:r>
      <w:r>
        <w:rPr>
          <w:sz w:val="21"/>
          <w:szCs w:val="21"/>
        </w:rPr>
        <w:t xml:space="preserve">Horse racing, not event contracts; magnitude may differ on fee-based binary exchanges.</w:t>
      </w:r>
    </w:p>
    <w:p>
      <w:pPr>
        <w:spacing w:after="100" w:line="272"/>
      </w:pPr>
      <w:r>
        <w:rPr>
          <w:b/>
          <w:bCs/>
          <w:color w:val="2E5496"/>
          <w:sz w:val="21"/>
          <w:szCs w:val="21"/>
        </w:rPr>
        <w:t xml:space="preserve">Relevance to Kalshi: </w:t>
      </w:r>
      <w:r>
        <w:rPr>
          <w:sz w:val="21"/>
          <w:szCs w:val="21"/>
        </w:rPr>
        <w:t xml:space="preserve">The behavioral engine behind the favorite-longshot bias that Bürgi–Deng–Whelan document on Kalshi; supports treating the bias as persistent and exploitable.</w:t>
      </w:r>
    </w:p>
    <w:p>
      <w:pPr>
        <w:spacing w:after="100" w:line="272"/>
      </w:pPr>
      <w:r>
        <w:rPr>
          <w:b/>
          <w:bCs/>
          <w:color w:val="2E5496"/>
          <w:sz w:val="21"/>
          <w:szCs w:val="21"/>
        </w:rPr>
        <w:t xml:space="preserve">Strategy ideas: </w:t>
      </w:r>
      <w:r>
        <w:rPr>
          <w:sz w:val="21"/>
          <w:szCs w:val="21"/>
        </w:rPr>
        <w:t xml:space="preserve">Systematically overweight favorites / underweight longshots on Kalshi; size by the estimated misperception curve rather than flat stakes.</w:t>
      </w:r>
    </w:p>
    <w:p>
      <w:pPr>
        <w:pStyle w:val="Heading3"/>
        <w:spacing w:after="80" w:before="200"/>
      </w:pPr>
      <w:r>
        <w:rPr>
          <w:b/>
          <w:bCs/>
          <w:color w:val="1F3864"/>
          <w:sz w:val="23"/>
          <w:szCs w:val="23"/>
        </w:rPr>
        <w:t xml:space="preserve">[9] Semantic Non-Fungibility and Violations of the Law of One Price in Prediction Markets</w:t>
      </w:r>
    </w:p>
    <w:p>
      <w:pPr>
        <w:spacing w:after="100" w:line="272"/>
      </w:pPr>
      <w:r>
        <w:rPr>
          <w:b/>
          <w:bCs/>
          <w:color w:val="2E5496"/>
          <w:sz w:val="21"/>
          <w:szCs w:val="21"/>
        </w:rPr>
        <w:t xml:space="preserve">Authors: </w:t>
      </w:r>
      <w:r>
        <w:rPr>
          <w:sz w:val="21"/>
          <w:szCs w:val="21"/>
        </w:rPr>
        <w:t xml:space="preserve">Jonas Gebele et al.</w:t>
      </w:r>
    </w:p>
    <w:p>
      <w:pPr>
        <w:spacing w:after="100" w:line="272"/>
      </w:pPr>
      <w:r>
        <w:rPr>
          <w:b/>
          <w:bCs/>
          <w:color w:val="2E5496"/>
          <w:sz w:val="21"/>
          <w:szCs w:val="21"/>
        </w:rPr>
        <w:t xml:space="preserve">Year / Venue: </w:t>
      </w:r>
      <w:r>
        <w:rPr>
          <w:sz w:val="21"/>
          <w:szCs w:val="21"/>
        </w:rPr>
        <w:t xml:space="preserve">2026 — arXiv:2601.01706</w:t>
      </w:r>
    </w:p>
    <w:p>
      <w:pPr>
        <w:spacing w:after="100" w:line="272"/>
      </w:pPr>
      <w:r>
        <w:rPr>
          <w:b/>
          <w:bCs/>
          <w:color w:val="2E5496"/>
          <w:sz w:val="21"/>
          <w:szCs w:val="21"/>
        </w:rPr>
        <w:t xml:space="preserve">Type / Peer-reviewed: </w:t>
      </w:r>
      <w:r>
        <w:rPr>
          <w:sz w:val="21"/>
          <w:szCs w:val="21"/>
        </w:rPr>
        <w:t xml:space="preserve">Preprint (arXiv) · Peer-reviewed: No (preprint) · Approx. citations: New (n/a)</w:t>
      </w:r>
    </w:p>
    <w:p>
      <w:pPr>
        <w:spacing w:after="120"/>
      </w:pPr>
      <w:r>
        <w:rPr>
          <w:b/>
          <w:bCs/>
          <w:color w:val="2E5496"/>
          <w:sz w:val="21"/>
          <w:szCs w:val="21"/>
        </w:rPr>
        <w:t xml:space="preserve">Link: </w:t>
      </w:r>
      <w:hyperlink w:history="1" r:id="rIdn82kruir0q472tm6obllw">
        <w:r>
          <w:rPr>
            <w:rStyle w:val="Hyperlink"/>
            <w:sz w:val="21"/>
            <w:szCs w:val="21"/>
          </w:rPr>
          <w:t xml:space="preserve">https://arxiv.org/abs/2601.01706</w:t>
        </w:r>
      </w:hyperlink>
    </w:p>
    <w:p>
      <w:pPr>
        <w:spacing w:after="100" w:line="272"/>
      </w:pPr>
      <w:r>
        <w:rPr>
          <w:b/>
          <w:bCs/>
          <w:color w:val="2E5496"/>
          <w:sz w:val="21"/>
          <w:szCs w:val="21"/>
        </w:rPr>
        <w:t xml:space="preserve">Summary: </w:t>
      </w:r>
      <w:r>
        <w:rPr>
          <w:sz w:val="21"/>
          <w:szCs w:val="21"/>
        </w:rPr>
        <w:t xml:space="preserve">Constructs the first human-validated cross-platform dataset of economically identical markets (100k+ events, ten venues incl. Kalshi, Polymarket, PredictIt, 2018–2025). Because platforms define events with subtly different wording and resolution rules ('semantic non-fungibility'), liquidity fails to pool and prices persistently violate the Law of One Price. Semantically equivalent contracts show execution-aware price gaps of 2–4% on average, even in liquid, information-rich settings.</w:t>
      </w:r>
    </w:p>
    <w:p>
      <w:pPr>
        <w:spacing w:after="100" w:line="272"/>
      </w:pPr>
      <w:r>
        <w:rPr>
          <w:b/>
          <w:bCs/>
          <w:color w:val="2E5496"/>
          <w:sz w:val="21"/>
          <w:szCs w:val="21"/>
        </w:rPr>
        <w:t xml:space="preserve">Main findings: </w:t>
      </w:r>
      <w:r>
        <w:rPr>
          <w:sz w:val="21"/>
          <w:szCs w:val="21"/>
        </w:rPr>
        <w:t xml:space="preserve">Persistent 2–4% cross-platform mispricings on ~6% of events that are co-listed; deviations are driven by structural frictions (resolution-rule and settlement differences), not informational disagreement.</w:t>
      </w:r>
    </w:p>
    <w:p>
      <w:pPr>
        <w:spacing w:after="100" w:line="272"/>
      </w:pPr>
      <w:r>
        <w:rPr>
          <w:b/>
          <w:bCs/>
          <w:color w:val="2E5496"/>
          <w:sz w:val="21"/>
          <w:szCs w:val="21"/>
        </w:rPr>
        <w:t xml:space="preserve">Data: </w:t>
      </w:r>
      <w:r>
        <w:rPr>
          <w:sz w:val="21"/>
          <w:szCs w:val="21"/>
        </w:rPr>
        <w:t xml:space="preserve">100k+ aligned events across 10 venues, 2018–2025.</w:t>
      </w:r>
    </w:p>
    <w:p>
      <w:pPr>
        <w:spacing w:after="100" w:line="272"/>
      </w:pPr>
      <w:r>
        <w:rPr>
          <w:b/>
          <w:bCs/>
          <w:color w:val="2E5496"/>
          <w:sz w:val="21"/>
          <w:szCs w:val="21"/>
        </w:rPr>
        <w:t xml:space="preserve">Methodology: </w:t>
      </w:r>
      <w:r>
        <w:rPr>
          <w:sz w:val="21"/>
          <w:szCs w:val="21"/>
        </w:rPr>
        <w:t xml:space="preserve">Human-validated event matching + execution-aware (fee/spread-adjusted) deviation measurement.</w:t>
      </w:r>
    </w:p>
    <w:p>
      <w:pPr>
        <w:spacing w:after="100" w:line="272"/>
      </w:pPr>
      <w:r>
        <w:rPr>
          <w:b/>
          <w:bCs/>
          <w:color w:val="2E5496"/>
          <w:sz w:val="21"/>
          <w:szCs w:val="21"/>
        </w:rPr>
        <w:t xml:space="preserve">Key limitations: </w:t>
      </w:r>
      <w:r>
        <w:rPr>
          <w:sz w:val="21"/>
          <w:szCs w:val="21"/>
        </w:rPr>
        <w:t xml:space="preserve">Preprint; 'arbitrage' is often capital-intensive or unenforceable due to genuine rule differences — not all gaps are free money.</w:t>
      </w:r>
    </w:p>
    <w:p>
      <w:pPr>
        <w:spacing w:after="100" w:line="272"/>
      </w:pPr>
      <w:r>
        <w:rPr>
          <w:b/>
          <w:bCs/>
          <w:color w:val="2E5496"/>
          <w:sz w:val="21"/>
          <w:szCs w:val="21"/>
        </w:rPr>
        <w:t xml:space="preserve">Relevance to Kalshi: </w:t>
      </w:r>
      <w:r>
        <w:rPr>
          <w:sz w:val="21"/>
          <w:szCs w:val="21"/>
        </w:rPr>
        <w:t xml:space="preserve">Core actionable evidence for Kalshi↔Polymarket cross-listing arbitrage, with the crucial caveat that resolution-criteria differences must be checked contract-by-contract.</w:t>
      </w:r>
    </w:p>
    <w:p>
      <w:pPr>
        <w:spacing w:after="100" w:line="272"/>
      </w:pPr>
      <w:r>
        <w:rPr>
          <w:b/>
          <w:bCs/>
          <w:color w:val="2E5496"/>
          <w:sz w:val="21"/>
          <w:szCs w:val="21"/>
        </w:rPr>
        <w:t xml:space="preserve">Strategy ideas: </w:t>
      </w:r>
      <w:r>
        <w:rPr>
          <w:sz w:val="21"/>
          <w:szCs w:val="21"/>
        </w:rPr>
        <w:t xml:space="preserve">Automated cross-venue scanner that flags Kalshi/Polymarket pairs breaching LOP after fees, then filters by resolution-rule equivalence before executing.</w:t>
      </w:r>
    </w:p>
    <w:p>
      <w:pPr>
        <w:pStyle w:val="Heading3"/>
        <w:spacing w:after="80" w:before="200"/>
      </w:pPr>
      <w:r>
        <w:rPr>
          <w:b/>
          <w:bCs/>
          <w:color w:val="1F3864"/>
          <w:sz w:val="23"/>
          <w:szCs w:val="23"/>
        </w:rPr>
        <w:t xml:space="preserve">[10] When Do Markets Fully Process Public Information? Evidence from Real-Time Prediction Markets</w:t>
      </w:r>
    </w:p>
    <w:p>
      <w:pPr>
        <w:spacing w:after="100" w:line="272"/>
      </w:pPr>
      <w:r>
        <w:rPr>
          <w:b/>
          <w:bCs/>
          <w:color w:val="2E5496"/>
          <w:sz w:val="21"/>
          <w:szCs w:val="21"/>
        </w:rPr>
        <w:t xml:space="preserve">Authors: </w:t>
      </w:r>
      <w:r>
        <w:rPr>
          <w:sz w:val="21"/>
          <w:szCs w:val="21"/>
        </w:rPr>
        <w:t xml:space="preserve">Giovanni Angelini &amp; Luca De Angelis</w:t>
      </w:r>
    </w:p>
    <w:p>
      <w:pPr>
        <w:spacing w:after="100" w:line="272"/>
      </w:pPr>
      <w:r>
        <w:rPr>
          <w:b/>
          <w:bCs/>
          <w:color w:val="2E5496"/>
          <w:sz w:val="21"/>
          <w:szCs w:val="21"/>
        </w:rPr>
        <w:t xml:space="preserve">Year / Venue: </w:t>
      </w:r>
      <w:r>
        <w:rPr>
          <w:sz w:val="21"/>
          <w:szCs w:val="21"/>
        </w:rPr>
        <w:t xml:space="preserve">2026 — arXiv:2606.07811</w:t>
      </w:r>
    </w:p>
    <w:p>
      <w:pPr>
        <w:spacing w:after="100" w:line="272"/>
      </w:pPr>
      <w:r>
        <w:rPr>
          <w:b/>
          <w:bCs/>
          <w:color w:val="2E5496"/>
          <w:sz w:val="21"/>
          <w:szCs w:val="21"/>
        </w:rPr>
        <w:t xml:space="preserve">Type / Peer-reviewed: </w:t>
      </w:r>
      <w:r>
        <w:rPr>
          <w:sz w:val="21"/>
          <w:szCs w:val="21"/>
        </w:rPr>
        <w:t xml:space="preserve">Preprint (arXiv) · Peer-reviewed: No (preprint) · Approx. citations: New (n/a)</w:t>
      </w:r>
    </w:p>
    <w:p>
      <w:pPr>
        <w:spacing w:after="120"/>
      </w:pPr>
      <w:r>
        <w:rPr>
          <w:b/>
          <w:bCs/>
          <w:color w:val="2E5496"/>
          <w:sz w:val="21"/>
          <w:szCs w:val="21"/>
        </w:rPr>
        <w:t xml:space="preserve">Link: </w:t>
      </w:r>
      <w:hyperlink w:history="1" r:id="rIdzxhrqkddkrzcgkythnfr8">
        <w:r>
          <w:rPr>
            <w:rStyle w:val="Hyperlink"/>
            <w:sz w:val="21"/>
            <w:szCs w:val="21"/>
          </w:rPr>
          <w:t xml:space="preserve">https://arxiv.org/abs/2606.07811</w:t>
        </w:r>
      </w:hyperlink>
    </w:p>
    <w:p>
      <w:pPr>
        <w:spacing w:after="100" w:line="272"/>
      </w:pPr>
      <w:r>
        <w:rPr>
          <w:b/>
          <w:bCs/>
          <w:color w:val="2E5496"/>
          <w:sz w:val="21"/>
          <w:szCs w:val="21"/>
        </w:rPr>
        <w:t xml:space="preserve">Summary: </w:t>
      </w:r>
      <w:r>
        <w:rPr>
          <w:sz w:val="21"/>
          <w:szCs w:val="21"/>
        </w:rPr>
        <w:t xml:space="preserve">Studies minute-by-minute price response to a salient public benchmark signal. A one-minute change in the benchmark probability moves market prices only ~0.64-for-one contemporaneously; the missing ~0.36 adjustment predicts price drift over the following minutes. Underreaction is far larger when liquidity is low, so directionally-correct prices remain temporarily incomplete after news.</w:t>
      </w:r>
    </w:p>
    <w:p>
      <w:pPr>
        <w:spacing w:after="100" w:line="272"/>
      </w:pPr>
      <w:r>
        <w:rPr>
          <w:b/>
          <w:bCs/>
          <w:color w:val="2E5496"/>
          <w:sz w:val="21"/>
          <w:szCs w:val="21"/>
        </w:rPr>
        <w:t xml:space="preserve">Main findings: </w:t>
      </w:r>
      <w:r>
        <w:rPr>
          <w:sz w:val="21"/>
          <w:szCs w:val="21"/>
        </w:rPr>
        <w:t xml:space="preserve">Systematic short-horizon underreaction to public information; the shortfall predicts subsequent drift; magnitude scales inversely with liquidity and directly with salience.</w:t>
      </w:r>
    </w:p>
    <w:p>
      <w:pPr>
        <w:spacing w:after="100" w:line="272"/>
      </w:pPr>
      <w:r>
        <w:rPr>
          <w:b/>
          <w:bCs/>
          <w:color w:val="2E5496"/>
          <w:sz w:val="21"/>
          <w:szCs w:val="21"/>
        </w:rPr>
        <w:t xml:space="preserve">Data: </w:t>
      </w:r>
      <w:r>
        <w:rPr>
          <w:sz w:val="21"/>
          <w:szCs w:val="21"/>
        </w:rPr>
        <w:t xml:space="preserve">High-frequency (minute-level) real-time prediction-market prices vs. a benchmark probability signal.</w:t>
      </w:r>
    </w:p>
    <w:p>
      <w:pPr>
        <w:spacing w:after="100" w:line="272"/>
      </w:pPr>
      <w:r>
        <w:rPr>
          <w:b/>
          <w:bCs/>
          <w:color w:val="2E5496"/>
          <w:sz w:val="21"/>
          <w:szCs w:val="21"/>
        </w:rPr>
        <w:t xml:space="preserve">Methodology: </w:t>
      </w:r>
      <w:r>
        <w:rPr>
          <w:sz w:val="21"/>
          <w:szCs w:val="21"/>
        </w:rPr>
        <w:t xml:space="preserve">Contemporaneous vs. lagged response regressions; drift-prediction tests conditioned on liquidity.</w:t>
      </w:r>
    </w:p>
    <w:p>
      <w:pPr>
        <w:spacing w:after="100" w:line="272"/>
      </w:pPr>
      <w:r>
        <w:rPr>
          <w:b/>
          <w:bCs/>
          <w:color w:val="2E5496"/>
          <w:sz w:val="21"/>
          <w:szCs w:val="21"/>
        </w:rPr>
        <w:t xml:space="preserve">Key limitations: </w:t>
      </w:r>
      <w:r>
        <w:rPr>
          <w:sz w:val="21"/>
          <w:szCs w:val="21"/>
        </w:rPr>
        <w:t xml:space="preserve">Preprint; drift may be hard to capture net of spreads in the thinnest markets where it is largest.</w:t>
      </w:r>
    </w:p>
    <w:p>
      <w:pPr>
        <w:spacing w:after="100" w:line="272"/>
      </w:pPr>
      <w:r>
        <w:rPr>
          <w:b/>
          <w:bCs/>
          <w:color w:val="2E5496"/>
          <w:sz w:val="21"/>
          <w:szCs w:val="21"/>
        </w:rPr>
        <w:t xml:space="preserve">Relevance to Kalshi: </w:t>
      </w:r>
      <w:r>
        <w:rPr>
          <w:sz w:val="21"/>
          <w:szCs w:val="21"/>
        </w:rPr>
        <w:t xml:space="preserve">Directly motivates a news-underreaction momentum strategy on Kalshi, especially in mid-liquidity contracts where drift is exploitable but spreads are payable.</w:t>
      </w:r>
    </w:p>
    <w:p>
      <w:pPr>
        <w:spacing w:after="100" w:line="272"/>
      </w:pPr>
      <w:r>
        <w:rPr>
          <w:b/>
          <w:bCs/>
          <w:color w:val="2E5496"/>
          <w:sz w:val="21"/>
          <w:szCs w:val="21"/>
        </w:rPr>
        <w:t xml:space="preserve">Strategy ideas: </w:t>
      </w:r>
      <w:r>
        <w:rPr>
          <w:sz w:val="21"/>
          <w:szCs w:val="21"/>
        </w:rPr>
        <w:t xml:space="preserve">Momentum/drift signal: after a benchmark jump, trade in the direction of the under-adjustment for several minutes; gate by liquidity so spreads don't eat the edge.</w:t>
      </w:r>
    </w:p>
    <w:p>
      <w:pPr>
        <w:pStyle w:val="Heading2"/>
        <w:spacing w:after="120" w:before="240"/>
      </w:pPr>
      <w:r>
        <w:rPr>
          <w:b/>
          <w:bCs/>
          <w:color w:val="2E5496"/>
          <w:sz w:val="26"/>
          <w:szCs w:val="26"/>
        </w:rPr>
        <w:t xml:space="preserve">Section D — Kalshi-Specific Evidence</w:t>
      </w:r>
    </w:p>
    <w:p>
      <w:pPr>
        <w:pStyle w:val="Heading3"/>
        <w:spacing w:after="80" w:before="200"/>
      </w:pPr>
      <w:r>
        <w:rPr>
          <w:b/>
          <w:bCs/>
          <w:color w:val="1F3864"/>
          <w:sz w:val="23"/>
          <w:szCs w:val="23"/>
        </w:rPr>
        <w:t xml:space="preserve">[11] Makers and Takers: The Economics of the Kalshi Prediction Market</w:t>
      </w:r>
    </w:p>
    <w:p>
      <w:pPr>
        <w:spacing w:after="100" w:line="272"/>
      </w:pPr>
      <w:r>
        <w:rPr>
          <w:b/>
          <w:bCs/>
          <w:color w:val="2E5496"/>
          <w:sz w:val="21"/>
          <w:szCs w:val="21"/>
        </w:rPr>
        <w:t xml:space="preserve">Authors: </w:t>
      </w:r>
      <w:r>
        <w:rPr>
          <w:sz w:val="21"/>
          <w:szCs w:val="21"/>
        </w:rPr>
        <w:t xml:space="preserve">Constantin Bürgi, Wanying Deng &amp; Karl Whelan</w:t>
      </w:r>
    </w:p>
    <w:p>
      <w:pPr>
        <w:spacing w:after="100" w:line="272"/>
      </w:pPr>
      <w:r>
        <w:rPr>
          <w:b/>
          <w:bCs/>
          <w:color w:val="2E5496"/>
          <w:sz w:val="21"/>
          <w:szCs w:val="21"/>
        </w:rPr>
        <w:t xml:space="preserve">Year / Venue: </w:t>
      </w:r>
      <w:r>
        <w:rPr>
          <w:sz w:val="21"/>
          <w:szCs w:val="21"/>
        </w:rPr>
        <w:t xml:space="preserve">2025 — CESifo Working Paper No. 12122 / SSRN 5502658</w:t>
      </w:r>
    </w:p>
    <w:p>
      <w:pPr>
        <w:spacing w:after="100" w:line="272"/>
      </w:pPr>
      <w:r>
        <w:rPr>
          <w:b/>
          <w:bCs/>
          <w:color w:val="2E5496"/>
          <w:sz w:val="21"/>
          <w:szCs w:val="21"/>
        </w:rPr>
        <w:t xml:space="preserve">Type / Peer-reviewed: </w:t>
      </w:r>
      <w:r>
        <w:rPr>
          <w:sz w:val="21"/>
          <w:szCs w:val="21"/>
        </w:rPr>
        <w:t xml:space="preserve">Working paper (CESifo/SSRN) · Peer-reviewed: No (working paper) · Approx. citations: 1 cite; 1,016 downloads</w:t>
      </w:r>
    </w:p>
    <w:p>
      <w:pPr>
        <w:spacing w:after="120"/>
      </w:pPr>
      <w:r>
        <w:rPr>
          <w:b/>
          <w:bCs/>
          <w:color w:val="2E5496"/>
          <w:sz w:val="21"/>
          <w:szCs w:val="21"/>
        </w:rPr>
        <w:t xml:space="preserve">Link: </w:t>
      </w:r>
      <w:hyperlink w:history="1" r:id="rIdw2tr_ywxjpumdtb8s7s35">
        <w:r>
          <w:rPr>
            <w:rStyle w:val="Hyperlink"/>
            <w:sz w:val="21"/>
            <w:szCs w:val="21"/>
          </w:rPr>
          <w:t xml:space="preserve">https://papers.ssrn.com/sol3/papers.cfm?abstract_id=5502658</w:t>
        </w:r>
      </w:hyperlink>
    </w:p>
    <w:p>
      <w:pPr>
        <w:spacing w:after="100" w:line="272"/>
      </w:pPr>
      <w:r>
        <w:rPr>
          <w:b/>
          <w:bCs/>
          <w:color w:val="2E5496"/>
          <w:sz w:val="21"/>
          <w:szCs w:val="21"/>
        </w:rPr>
        <w:t xml:space="preserve">Summary: </w:t>
      </w:r>
      <w:r>
        <w:rPr>
          <w:sz w:val="21"/>
          <w:szCs w:val="21"/>
        </w:rPr>
        <w:t xml:space="preserve">The first systematic study of Kalshi pricing, using transaction-level data on 300,000+ contracts. Prices are informative and sharpen toward expiry, but exhibit a clear favorite-longshot bias: cheap contracts win far less often than break-even requires, while expensive contracts win slightly more and earn small positive returns. The average pre-fee return on a contract is about −20% (−22% after fees), and a Maker/Taker microstructure model explains the asymmetry.</w:t>
      </w:r>
    </w:p>
    <w:p>
      <w:pPr>
        <w:spacing w:after="100" w:line="272"/>
      </w:pPr>
      <w:r>
        <w:rPr>
          <w:b/>
          <w:bCs/>
          <w:color w:val="2E5496"/>
          <w:sz w:val="21"/>
          <w:szCs w:val="21"/>
        </w:rPr>
        <w:t xml:space="preserve">Main findings: </w:t>
      </w:r>
      <w:r>
        <w:rPr>
          <w:sz w:val="21"/>
          <w:szCs w:val="21"/>
        </w:rPr>
        <w:t xml:space="preserve">Strong, quantified favorite-longshot bias on Kalshi; negative average returns concentrated in cheap contracts; well-informed Makers earn small positive expected returns while Takers systematically lose.</w:t>
      </w:r>
    </w:p>
    <w:p>
      <w:pPr>
        <w:spacing w:after="100" w:line="272"/>
      </w:pPr>
      <w:r>
        <w:rPr>
          <w:b/>
          <w:bCs/>
          <w:color w:val="2E5496"/>
          <w:sz w:val="21"/>
          <w:szCs w:val="21"/>
        </w:rPr>
        <w:t xml:space="preserve">Data: </w:t>
      </w:r>
      <w:r>
        <w:rPr>
          <w:sz w:val="21"/>
          <w:szCs w:val="21"/>
        </w:rPr>
        <w:t xml:space="preserve">300,000+ Kalshi contracts, transaction-level.</w:t>
      </w:r>
    </w:p>
    <w:p>
      <w:pPr>
        <w:spacing w:after="100" w:line="272"/>
      </w:pPr>
      <w:r>
        <w:rPr>
          <w:b/>
          <w:bCs/>
          <w:color w:val="2E5496"/>
          <w:sz w:val="21"/>
          <w:szCs w:val="21"/>
        </w:rPr>
        <w:t xml:space="preserve">Methodology: </w:t>
      </w:r>
      <w:r>
        <w:rPr>
          <w:sz w:val="21"/>
          <w:szCs w:val="21"/>
        </w:rPr>
        <w:t xml:space="preserve">Realized-frequency vs. price calibration; return decomposition by price bucket and by Maker vs. Taker side; microstructure model.</w:t>
      </w:r>
    </w:p>
    <w:p>
      <w:pPr>
        <w:spacing w:after="100" w:line="272"/>
      </w:pPr>
      <w:r>
        <w:rPr>
          <w:b/>
          <w:bCs/>
          <w:color w:val="2E5496"/>
          <w:sz w:val="21"/>
          <w:szCs w:val="21"/>
        </w:rPr>
        <w:t xml:space="preserve">Key limitations: </w:t>
      </w:r>
      <w:r>
        <w:rPr>
          <w:sz w:val="21"/>
          <w:szCs w:val="21"/>
        </w:rPr>
        <w:t xml:space="preserve">Working paper; sample period and category mix matter; 'small positive Maker returns' may not survive adverse selection at scale.</w:t>
      </w:r>
    </w:p>
    <w:p>
      <w:pPr>
        <w:spacing w:after="100" w:line="272"/>
      </w:pPr>
      <w:r>
        <w:rPr>
          <w:b/>
          <w:bCs/>
          <w:color w:val="2E5496"/>
          <w:sz w:val="21"/>
          <w:szCs w:val="21"/>
        </w:rPr>
        <w:t xml:space="preserve">Relevance to Kalshi: </w:t>
      </w:r>
      <w:r>
        <w:rPr>
          <w:sz w:val="21"/>
          <w:szCs w:val="21"/>
        </w:rPr>
        <w:t xml:space="preserve">This IS the Kalshi evidence base — a direct, quantitative map of where the exploitable bias lives (extreme-priced contracts) and which side of the book captures it.</w:t>
      </w:r>
    </w:p>
    <w:p>
      <w:pPr>
        <w:spacing w:after="100" w:line="272"/>
      </w:pPr>
      <w:r>
        <w:rPr>
          <w:b/>
          <w:bCs/>
          <w:color w:val="2E5496"/>
          <w:sz w:val="21"/>
          <w:szCs w:val="21"/>
        </w:rPr>
        <w:t xml:space="preserve">Strategy ideas: </w:t>
      </w:r>
      <w:r>
        <w:rPr>
          <w:sz w:val="21"/>
          <w:szCs w:val="21"/>
        </w:rPr>
        <w:t xml:space="preserve">Become a Maker, not a Taker: post resting offers; systematically avoid buying sub-15¢ longshots; harvest the favorite side where post-fee returns are positive.</w:t>
      </w:r>
    </w:p>
    <w:p>
      <w:pPr>
        <w:pStyle w:val="Heading3"/>
        <w:spacing w:after="80" w:before="200"/>
      </w:pPr>
      <w:r>
        <w:rPr>
          <w:b/>
          <w:bCs/>
          <w:color w:val="1F3864"/>
          <w:sz w:val="23"/>
          <w:szCs w:val="23"/>
        </w:rPr>
        <w:t xml:space="preserve">[12] Price Discovery and Trading in Modern Prediction Markets</w:t>
      </w:r>
    </w:p>
    <w:p>
      <w:pPr>
        <w:spacing w:after="100" w:line="272"/>
      </w:pPr>
      <w:r>
        <w:rPr>
          <w:b/>
          <w:bCs/>
          <w:color w:val="2E5496"/>
          <w:sz w:val="21"/>
          <w:szCs w:val="21"/>
        </w:rPr>
        <w:t xml:space="preserve">Authors: </w:t>
      </w:r>
      <w:r>
        <w:rPr>
          <w:sz w:val="21"/>
          <w:szCs w:val="21"/>
        </w:rPr>
        <w:t xml:space="preserve">Hunter Ng, Lin Peng, Yubo Tao &amp; Dexin Zhou</w:t>
      </w:r>
    </w:p>
    <w:p>
      <w:pPr>
        <w:spacing w:after="100" w:line="272"/>
      </w:pPr>
      <w:r>
        <w:rPr>
          <w:b/>
          <w:bCs/>
          <w:color w:val="2E5496"/>
          <w:sz w:val="21"/>
          <w:szCs w:val="21"/>
        </w:rPr>
        <w:t xml:space="preserve">Year / Venue: </w:t>
      </w:r>
      <w:r>
        <w:rPr>
          <w:sz w:val="21"/>
          <w:szCs w:val="21"/>
        </w:rPr>
        <w:t xml:space="preserve">2025 — SSRN 5331995</w:t>
      </w:r>
    </w:p>
    <w:p>
      <w:pPr>
        <w:spacing w:after="100" w:line="272"/>
      </w:pPr>
      <w:r>
        <w:rPr>
          <w:b/>
          <w:bCs/>
          <w:color w:val="2E5496"/>
          <w:sz w:val="21"/>
          <w:szCs w:val="21"/>
        </w:rPr>
        <w:t xml:space="preserve">Type / Peer-reviewed: </w:t>
      </w:r>
      <w:r>
        <w:rPr>
          <w:sz w:val="21"/>
          <w:szCs w:val="21"/>
        </w:rPr>
        <w:t xml:space="preserve">Working paper (SSRN) · Peer-reviewed: No (working paper) · Approx. citations: New (n/a)</w:t>
      </w:r>
    </w:p>
    <w:p>
      <w:pPr>
        <w:spacing w:after="120"/>
      </w:pPr>
      <w:r>
        <w:rPr>
          <w:b/>
          <w:bCs/>
          <w:color w:val="2E5496"/>
          <w:sz w:val="21"/>
          <w:szCs w:val="21"/>
        </w:rPr>
        <w:t xml:space="preserve">Link: </w:t>
      </w:r>
      <w:hyperlink w:history="1" r:id="rIdnxlkzjrccavt4vwvm4xe5">
        <w:r>
          <w:rPr>
            <w:rStyle w:val="Hyperlink"/>
            <w:sz w:val="21"/>
            <w:szCs w:val="21"/>
          </w:rPr>
          <w:t xml:space="preserve">https://papers.ssrn.com/sol3/papers.cfm?abstract_id=5331995</w:t>
        </w:r>
      </w:hyperlink>
    </w:p>
    <w:p>
      <w:pPr>
        <w:spacing w:after="100" w:line="272"/>
      </w:pPr>
      <w:r>
        <w:rPr>
          <w:b/>
          <w:bCs/>
          <w:color w:val="2E5496"/>
          <w:sz w:val="21"/>
          <w:szCs w:val="21"/>
        </w:rPr>
        <w:t xml:space="preserve">Summary: </w:t>
      </w:r>
      <w:r>
        <w:rPr>
          <w:sz w:val="21"/>
          <w:szCs w:val="21"/>
        </w:rPr>
        <w:t xml:space="preserve">Compares common contracts traded simultaneously on Polymarket, Kalshi, PredictIt and Robinhood around the 2024 US election. Liquid markets substantially beat polls, yet meaningful cross-platform price disparities persist. Polymarket leads Kalshi in price discovery when liquidity/activity are high, and net order imbalance from large trades strongly predicts subsequent returns — the venue with heavier directional large-trade flow tends to lead.</w:t>
      </w:r>
    </w:p>
    <w:p>
      <w:pPr>
        <w:spacing w:after="100" w:line="272"/>
      </w:pPr>
      <w:r>
        <w:rPr>
          <w:b/>
          <w:bCs/>
          <w:color w:val="2E5496"/>
          <w:sz w:val="21"/>
          <w:szCs w:val="21"/>
        </w:rPr>
        <w:t xml:space="preserve">Main findings: </w:t>
      </w:r>
      <w:r>
        <w:rPr>
          <w:sz w:val="21"/>
          <w:szCs w:val="21"/>
        </w:rPr>
        <w:t xml:space="preserve">Cross-platform price gaps are economically meaningful and predictable; Polymarket often leads Kalshi in incorporating information; large-trade order-flow imbalance forecasts returns.</w:t>
      </w:r>
    </w:p>
    <w:p>
      <w:pPr>
        <w:spacing w:after="100" w:line="272"/>
      </w:pPr>
      <w:r>
        <w:rPr>
          <w:b/>
          <w:bCs/>
          <w:color w:val="2E5496"/>
          <w:sz w:val="21"/>
          <w:szCs w:val="21"/>
        </w:rPr>
        <w:t xml:space="preserve">Data: </w:t>
      </w:r>
      <w:r>
        <w:rPr>
          <w:sz w:val="21"/>
          <w:szCs w:val="21"/>
        </w:rPr>
        <w:t xml:space="preserve">Matched contracts on 4 venues, 2024 US presidential election period.</w:t>
      </w:r>
    </w:p>
    <w:p>
      <w:pPr>
        <w:spacing w:after="100" w:line="272"/>
      </w:pPr>
      <w:r>
        <w:rPr>
          <w:b/>
          <w:bCs/>
          <w:color w:val="2E5496"/>
          <w:sz w:val="21"/>
          <w:szCs w:val="21"/>
        </w:rPr>
        <w:t xml:space="preserve">Methodology: </w:t>
      </w:r>
      <w:r>
        <w:rPr>
          <w:sz w:val="21"/>
          <w:szCs w:val="21"/>
        </w:rPr>
        <w:t xml:space="preserve">Price-discovery (information-share) analysis + order-flow/return predictability regressions.</w:t>
      </w:r>
    </w:p>
    <w:p>
      <w:pPr>
        <w:spacing w:after="100" w:line="272"/>
      </w:pPr>
      <w:r>
        <w:rPr>
          <w:b/>
          <w:bCs/>
          <w:color w:val="2E5496"/>
          <w:sz w:val="21"/>
          <w:szCs w:val="21"/>
        </w:rPr>
        <w:t xml:space="preserve">Key limitations: </w:t>
      </w:r>
      <w:r>
        <w:rPr>
          <w:sz w:val="21"/>
          <w:szCs w:val="21"/>
        </w:rPr>
        <w:t xml:space="preserve">Working paper; single high-attention event; leadership may reverse in non-political or lower-liquidity markets.</w:t>
      </w:r>
    </w:p>
    <w:p>
      <w:pPr>
        <w:spacing w:after="100" w:line="272"/>
      </w:pPr>
      <w:r>
        <w:rPr>
          <w:b/>
          <w:bCs/>
          <w:color w:val="2E5496"/>
          <w:sz w:val="21"/>
          <w:szCs w:val="21"/>
        </w:rPr>
        <w:t xml:space="preserve">Relevance to Kalshi: </w:t>
      </w:r>
      <w:r>
        <w:rPr>
          <w:sz w:val="21"/>
          <w:szCs w:val="21"/>
        </w:rPr>
        <w:t xml:space="preserve">Two direct Kalshi edges: (1) use Polymarket as a leading indicator for Kalshi prices; (2) use large-trade order imbalance as a short-horizon return signal on Kalshi.</w:t>
      </w:r>
    </w:p>
    <w:p>
      <w:pPr>
        <w:spacing w:after="100" w:line="272"/>
      </w:pPr>
      <w:r>
        <w:rPr>
          <w:b/>
          <w:bCs/>
          <w:color w:val="2E5496"/>
          <w:sz w:val="21"/>
          <w:szCs w:val="21"/>
        </w:rPr>
        <w:t xml:space="preserve">Strategy ideas: </w:t>
      </w:r>
      <w:r>
        <w:rPr>
          <w:sz w:val="21"/>
          <w:szCs w:val="21"/>
        </w:rPr>
        <w:t xml:space="preserve">Lead-lag strategy: trade Kalshi off Polymarket moves before Kalshi catches up; and build an order-flow-imbalance signal from Kalshi's tape.</w:t>
      </w:r>
    </w:p>
    <w:p>
      <w:pPr>
        <w:pStyle w:val="Heading3"/>
        <w:spacing w:after="80" w:before="200"/>
      </w:pPr>
      <w:r>
        <w:rPr>
          <w:b/>
          <w:bCs/>
          <w:color w:val="1F3864"/>
          <w:sz w:val="23"/>
          <w:szCs w:val="23"/>
        </w:rPr>
        <w:t xml:space="preserve">[13] Do Prediction Markets Forecast Cryptocurrency Volatility? Evidence from Kalshi Macro Contracts</w:t>
      </w:r>
    </w:p>
    <w:p>
      <w:pPr>
        <w:spacing w:after="100" w:line="272"/>
      </w:pPr>
      <w:r>
        <w:rPr>
          <w:b/>
          <w:bCs/>
          <w:color w:val="2E5496"/>
          <w:sz w:val="21"/>
          <w:szCs w:val="21"/>
        </w:rPr>
        <w:t xml:space="preserve">Authors: </w:t>
      </w:r>
      <w:r>
        <w:rPr>
          <w:sz w:val="21"/>
          <w:szCs w:val="21"/>
        </w:rPr>
        <w:t xml:space="preserve">(arXiv authors)</w:t>
      </w:r>
    </w:p>
    <w:p>
      <w:pPr>
        <w:spacing w:after="100" w:line="272"/>
      </w:pPr>
      <w:r>
        <w:rPr>
          <w:b/>
          <w:bCs/>
          <w:color w:val="2E5496"/>
          <w:sz w:val="21"/>
          <w:szCs w:val="21"/>
        </w:rPr>
        <w:t xml:space="preserve">Year / Venue: </w:t>
      </w:r>
      <w:r>
        <w:rPr>
          <w:sz w:val="21"/>
          <w:szCs w:val="21"/>
        </w:rPr>
        <w:t xml:space="preserve">2026 — arXiv:2604.01431</w:t>
      </w:r>
    </w:p>
    <w:p>
      <w:pPr>
        <w:spacing w:after="100" w:line="272"/>
      </w:pPr>
      <w:r>
        <w:rPr>
          <w:b/>
          <w:bCs/>
          <w:color w:val="2E5496"/>
          <w:sz w:val="21"/>
          <w:szCs w:val="21"/>
        </w:rPr>
        <w:t xml:space="preserve">Type / Peer-reviewed: </w:t>
      </w:r>
      <w:r>
        <w:rPr>
          <w:sz w:val="21"/>
          <w:szCs w:val="21"/>
        </w:rPr>
        <w:t xml:space="preserve">Preprint (arXiv) · Peer-reviewed: No (preprint) · Approx. citations: New (n/a)</w:t>
      </w:r>
    </w:p>
    <w:p>
      <w:pPr>
        <w:spacing w:after="120"/>
      </w:pPr>
      <w:r>
        <w:rPr>
          <w:b/>
          <w:bCs/>
          <w:color w:val="2E5496"/>
          <w:sz w:val="21"/>
          <w:szCs w:val="21"/>
        </w:rPr>
        <w:t xml:space="preserve">Link: </w:t>
      </w:r>
      <w:hyperlink w:history="1" r:id="rIdwleutrnnfggjwvh4geuvx">
        <w:r>
          <w:rPr>
            <w:rStyle w:val="Hyperlink"/>
            <w:sz w:val="21"/>
            <w:szCs w:val="21"/>
          </w:rPr>
          <w:t xml:space="preserve">https://arxiv.org/abs/2604.01431</w:t>
        </w:r>
      </w:hyperlink>
    </w:p>
    <w:p>
      <w:pPr>
        <w:spacing w:after="100" w:line="272"/>
      </w:pPr>
      <w:r>
        <w:rPr>
          <w:b/>
          <w:bCs/>
          <w:color w:val="2E5496"/>
          <w:sz w:val="21"/>
          <w:szCs w:val="21"/>
        </w:rPr>
        <w:t xml:space="preserve">Summary: </w:t>
      </w:r>
      <w:r>
        <w:rPr>
          <w:sz w:val="21"/>
          <w:szCs w:val="21"/>
        </w:rPr>
        <w:t xml:space="preserve">Tests whether daily probability changes in Kalshi macro contracts predict crypto realized volatility through three channels: monetary policy (Fed-rate KXFED), recession risk (KXRECSSNBER), and inflation (KXCPI). The Fed channel predicts Bitcoin volatility in-sample but is regime-dependent; the recession signal is more stable out-of-sample; the CPI channel predicts altcoin volatility. Signals survive multiple-testing correction and carry information not embedded in Fed-funds futures, Treasuries or the Deribit IV index.</w:t>
      </w:r>
    </w:p>
    <w:p>
      <w:pPr>
        <w:spacing w:after="100" w:line="272"/>
      </w:pPr>
      <w:r>
        <w:rPr>
          <w:b/>
          <w:bCs/>
          <w:color w:val="2E5496"/>
          <w:sz w:val="21"/>
          <w:szCs w:val="21"/>
        </w:rPr>
        <w:t xml:space="preserve">Main findings: </w:t>
      </w:r>
      <w:r>
        <w:rPr>
          <w:sz w:val="21"/>
          <w:szCs w:val="21"/>
        </w:rPr>
        <w:t xml:space="preserve">Kalshi macro-contract probability changes contain incremental predictive information for crypto volatility beyond conventional instruments; recession-risk signal is the most robust out-of-sample.</w:t>
      </w:r>
    </w:p>
    <w:p>
      <w:pPr>
        <w:spacing w:after="100" w:line="272"/>
      </w:pPr>
      <w:r>
        <w:rPr>
          <w:b/>
          <w:bCs/>
          <w:color w:val="2E5496"/>
          <w:sz w:val="21"/>
          <w:szCs w:val="21"/>
        </w:rPr>
        <w:t xml:space="preserve">Data: </w:t>
      </w:r>
      <w:r>
        <w:rPr>
          <w:sz w:val="21"/>
          <w:szCs w:val="21"/>
        </w:rPr>
        <w:t xml:space="preserve">10 Kalshi event series + 6 crypto assets, Jan 2023–Mar 2026.</w:t>
      </w:r>
    </w:p>
    <w:p>
      <w:pPr>
        <w:spacing w:after="100" w:line="272"/>
      </w:pPr>
      <w:r>
        <w:rPr>
          <w:b/>
          <w:bCs/>
          <w:color w:val="2E5496"/>
          <w:sz w:val="21"/>
          <w:szCs w:val="21"/>
        </w:rPr>
        <w:t xml:space="preserve">Methodology: </w:t>
      </w:r>
      <w:r>
        <w:rPr>
          <w:sz w:val="21"/>
          <w:szCs w:val="21"/>
        </w:rPr>
        <w:t xml:space="preserve">Predictive regressions, out-of-sample MSFE ratios, Clark-West tests, Benjamini-Hochberg correction, orthogonalization vs. baselines.</w:t>
      </w:r>
    </w:p>
    <w:p>
      <w:pPr>
        <w:spacing w:after="100" w:line="272"/>
      </w:pPr>
      <w:r>
        <w:rPr>
          <w:b/>
          <w:bCs/>
          <w:color w:val="2E5496"/>
          <w:sz w:val="21"/>
          <w:szCs w:val="21"/>
        </w:rPr>
        <w:t xml:space="preserve">Key limitations: </w:t>
      </w:r>
      <w:r>
        <w:rPr>
          <w:sz w:val="21"/>
          <w:szCs w:val="21"/>
        </w:rPr>
        <w:t xml:space="preserve">Preprint; short sample dominated by the 2024–25 rate-cutting regime; regime dependence limits robustness of the Fed channel.</w:t>
      </w:r>
    </w:p>
    <w:p>
      <w:pPr>
        <w:spacing w:after="100" w:line="272"/>
      </w:pPr>
      <w:r>
        <w:rPr>
          <w:b/>
          <w:bCs/>
          <w:color w:val="2E5496"/>
          <w:sz w:val="21"/>
          <w:szCs w:val="21"/>
        </w:rPr>
        <w:t xml:space="preserve">Relevance to Kalshi: </w:t>
      </w:r>
      <w:r>
        <w:rPr>
          <w:sz w:val="21"/>
          <w:szCs w:val="21"/>
        </w:rPr>
        <w:t xml:space="preserve">Shows Kalshi macro contracts are themselves an alpha source for OTHER markets — a cross-asset signal, not just something to trade directly.</w:t>
      </w:r>
    </w:p>
    <w:p>
      <w:pPr>
        <w:spacing w:after="100" w:line="272"/>
      </w:pPr>
      <w:r>
        <w:rPr>
          <w:b/>
          <w:bCs/>
          <w:color w:val="2E5496"/>
          <w:sz w:val="21"/>
          <w:szCs w:val="21"/>
        </w:rPr>
        <w:t xml:space="preserve">Strategy ideas: </w:t>
      </w:r>
      <w:r>
        <w:rPr>
          <w:sz w:val="21"/>
          <w:szCs w:val="21"/>
        </w:rPr>
        <w:t xml:space="preserve">Use Kalshi macro-probability changes (recession, CPI, Fed) as features in a crypto-volatility trading/hedging model; also a template for Kalshi-as-signal in equities/rates.</w:t>
      </w:r>
    </w:p>
    <w:p>
      <w:pPr>
        <w:pStyle w:val="Heading2"/>
        <w:spacing w:after="120" w:before="240"/>
      </w:pPr>
      <w:r>
        <w:rPr>
          <w:b/>
          <w:bCs/>
          <w:color w:val="2E5496"/>
          <w:sz w:val="26"/>
          <w:szCs w:val="26"/>
        </w:rPr>
        <w:t xml:space="preserve">Section E — Related Platforms, Arbitrage &amp; Market Microstructure</w:t>
      </w:r>
    </w:p>
    <w:p>
      <w:pPr>
        <w:pStyle w:val="Heading3"/>
        <w:spacing w:after="80" w:before="200"/>
      </w:pPr>
      <w:r>
        <w:rPr>
          <w:b/>
          <w:bCs/>
          <w:color w:val="1F3864"/>
          <w:sz w:val="23"/>
          <w:szCs w:val="23"/>
        </w:rPr>
        <w:t xml:space="preserve">[14] The Anatomy of a Blockchain Prediction Market: Polymarket in the 2024 US Presidential Election</w:t>
      </w:r>
    </w:p>
    <w:p>
      <w:pPr>
        <w:spacing w:after="100" w:line="272"/>
      </w:pPr>
      <w:r>
        <w:rPr>
          <w:b/>
          <w:bCs/>
          <w:color w:val="2E5496"/>
          <w:sz w:val="21"/>
          <w:szCs w:val="21"/>
        </w:rPr>
        <w:t xml:space="preserve">Authors: </w:t>
      </w:r>
      <w:r>
        <w:rPr>
          <w:sz w:val="21"/>
          <w:szCs w:val="21"/>
        </w:rPr>
        <w:t xml:space="preserve">(arXiv authors)</w:t>
      </w:r>
    </w:p>
    <w:p>
      <w:pPr>
        <w:spacing w:after="100" w:line="272"/>
      </w:pPr>
      <w:r>
        <w:rPr>
          <w:b/>
          <w:bCs/>
          <w:color w:val="2E5496"/>
          <w:sz w:val="21"/>
          <w:szCs w:val="21"/>
        </w:rPr>
        <w:t xml:space="preserve">Year / Venue: </w:t>
      </w:r>
      <w:r>
        <w:rPr>
          <w:sz w:val="21"/>
          <w:szCs w:val="21"/>
        </w:rPr>
        <w:t xml:space="preserve">2026 — arXiv:2603.03136</w:t>
      </w:r>
    </w:p>
    <w:p>
      <w:pPr>
        <w:spacing w:after="100" w:line="272"/>
      </w:pPr>
      <w:r>
        <w:rPr>
          <w:b/>
          <w:bCs/>
          <w:color w:val="2E5496"/>
          <w:sz w:val="21"/>
          <w:szCs w:val="21"/>
        </w:rPr>
        <w:t xml:space="preserve">Type / Peer-reviewed: </w:t>
      </w:r>
      <w:r>
        <w:rPr>
          <w:sz w:val="21"/>
          <w:szCs w:val="21"/>
        </w:rPr>
        <w:t xml:space="preserve">Preprint (arXiv) · Peer-reviewed: No (preprint) · Approx. citations: New (n/a)</w:t>
      </w:r>
    </w:p>
    <w:p>
      <w:pPr>
        <w:spacing w:after="120"/>
      </w:pPr>
      <w:r>
        <w:rPr>
          <w:b/>
          <w:bCs/>
          <w:color w:val="2E5496"/>
          <w:sz w:val="21"/>
          <w:szCs w:val="21"/>
        </w:rPr>
        <w:t xml:space="preserve">Link: </w:t>
      </w:r>
      <w:hyperlink w:history="1" r:id="rIddohmdudymwtvjmh9tw3in">
        <w:r>
          <w:rPr>
            <w:rStyle w:val="Hyperlink"/>
            <w:sz w:val="21"/>
            <w:szCs w:val="21"/>
          </w:rPr>
          <w:t xml:space="preserve">https://arxiv.org/abs/2603.03136</w:t>
        </w:r>
      </w:hyperlink>
    </w:p>
    <w:p>
      <w:pPr>
        <w:spacing w:after="100" w:line="272"/>
      </w:pPr>
      <w:r>
        <w:rPr>
          <w:b/>
          <w:bCs/>
          <w:color w:val="2E5496"/>
          <w:sz w:val="21"/>
          <w:szCs w:val="21"/>
        </w:rPr>
        <w:t xml:space="preserve">Summary: </w:t>
      </w:r>
      <w:r>
        <w:rPr>
          <w:sz w:val="21"/>
          <w:szCs w:val="21"/>
        </w:rPr>
        <w:t xml:space="preserve">A complete on-chain transaction analysis of Polymarket's 2024 election market. Early in the cycle the market was thin — high price impact, wide arbitrage deviations, few participants — but quality improved dramatically as depth grew: arbitrage-deviation half-lives collapsed from hours to under a minute and Kyle's lambda (price impact) fell from 0.53 to 0.01. Demonstrates the life-cycle of inefficiency as a market matures.</w:t>
      </w:r>
    </w:p>
    <w:p>
      <w:pPr>
        <w:spacing w:after="100" w:line="272"/>
      </w:pPr>
      <w:r>
        <w:rPr>
          <w:b/>
          <w:bCs/>
          <w:color w:val="2E5496"/>
          <w:sz w:val="21"/>
          <w:szCs w:val="21"/>
        </w:rPr>
        <w:t xml:space="preserve">Main findings: </w:t>
      </w:r>
      <w:r>
        <w:rPr>
          <w:sz w:val="21"/>
          <w:szCs w:val="21"/>
        </w:rPr>
        <w:t xml:space="preserve">Inefficiency (price impact, LOP violations) is severe early and thin, then decays sharply with liquidity; arbitrage half-lives shrink from hours to seconds as the market matures.</w:t>
      </w:r>
    </w:p>
    <w:p>
      <w:pPr>
        <w:spacing w:after="100" w:line="272"/>
      </w:pPr>
      <w:r>
        <w:rPr>
          <w:b/>
          <w:bCs/>
          <w:color w:val="2E5496"/>
          <w:sz w:val="21"/>
          <w:szCs w:val="21"/>
        </w:rPr>
        <w:t xml:space="preserve">Data: </w:t>
      </w:r>
      <w:r>
        <w:rPr>
          <w:sz w:val="21"/>
          <w:szCs w:val="21"/>
        </w:rPr>
        <w:t xml:space="preserve">Full Polygon on-chain order/trade data for the 2024 election market.</w:t>
      </w:r>
    </w:p>
    <w:p>
      <w:pPr>
        <w:spacing w:after="100" w:line="272"/>
      </w:pPr>
      <w:r>
        <w:rPr>
          <w:b/>
          <w:bCs/>
          <w:color w:val="2E5496"/>
          <w:sz w:val="21"/>
          <w:szCs w:val="21"/>
        </w:rPr>
        <w:t xml:space="preserve">Methodology: </w:t>
      </w:r>
      <w:r>
        <w:rPr>
          <w:sz w:val="21"/>
          <w:szCs w:val="21"/>
        </w:rPr>
        <w:t xml:space="preserve">Microstructure metrics (Kyle's lambda, arbitrage half-life, depth) over the market life-cycle.</w:t>
      </w:r>
    </w:p>
    <w:p>
      <w:pPr>
        <w:spacing w:after="100" w:line="272"/>
      </w:pPr>
      <w:r>
        <w:rPr>
          <w:b/>
          <w:bCs/>
          <w:color w:val="2E5496"/>
          <w:sz w:val="21"/>
          <w:szCs w:val="21"/>
        </w:rPr>
        <w:t xml:space="preserve">Key limitations: </w:t>
      </w:r>
      <w:r>
        <w:rPr>
          <w:sz w:val="21"/>
          <w:szCs w:val="21"/>
        </w:rPr>
        <w:t xml:space="preserve">Single event; crypto/on-chain venue differs from Kalshi's regulated order book; findings are descriptive.</w:t>
      </w:r>
    </w:p>
    <w:p>
      <w:pPr>
        <w:spacing w:after="100" w:line="272"/>
      </w:pPr>
      <w:r>
        <w:rPr>
          <w:b/>
          <w:bCs/>
          <w:color w:val="2E5496"/>
          <w:sz w:val="21"/>
          <w:szCs w:val="21"/>
        </w:rPr>
        <w:t xml:space="preserve">Relevance to Kalshi: </w:t>
      </w:r>
      <w:r>
        <w:rPr>
          <w:sz w:val="21"/>
          <w:szCs w:val="21"/>
        </w:rPr>
        <w:t xml:space="preserve">Tells you WHEN Kalshi edge is largest — newly listed, thin contracts early in their life — and that it evaporates as the contract matures.</w:t>
      </w:r>
    </w:p>
    <w:p>
      <w:pPr>
        <w:spacing w:after="100" w:line="272"/>
      </w:pPr>
      <w:r>
        <w:rPr>
          <w:b/>
          <w:bCs/>
          <w:color w:val="2E5496"/>
          <w:sz w:val="21"/>
          <w:szCs w:val="21"/>
        </w:rPr>
        <w:t xml:space="preserve">Strategy ideas: </w:t>
      </w:r>
      <w:r>
        <w:rPr>
          <w:sz w:val="21"/>
          <w:szCs w:val="21"/>
        </w:rPr>
        <w:t xml:space="preserve">Concentrate market-making/arbitrage on newly-listed, low-liquidity Kalshi contracts; exit as depth builds and half-lives shorten.</w:t>
      </w:r>
    </w:p>
    <w:p>
      <w:pPr>
        <w:pStyle w:val="Heading3"/>
        <w:spacing w:after="80" w:before="200"/>
      </w:pPr>
      <w:r>
        <w:rPr>
          <w:b/>
          <w:bCs/>
          <w:color w:val="1F3864"/>
          <w:sz w:val="23"/>
          <w:szCs w:val="23"/>
        </w:rPr>
        <w:t xml:space="preserve">[15] Arbitrage in Political Prediction Markets</w:t>
      </w:r>
    </w:p>
    <w:p>
      <w:pPr>
        <w:spacing w:after="100" w:line="272"/>
      </w:pPr>
      <w:r>
        <w:rPr>
          <w:b/>
          <w:bCs/>
          <w:color w:val="2E5496"/>
          <w:sz w:val="21"/>
          <w:szCs w:val="21"/>
        </w:rPr>
        <w:t xml:space="preserve">Authors: </w:t>
      </w:r>
      <w:r>
        <w:rPr>
          <w:sz w:val="21"/>
          <w:szCs w:val="21"/>
        </w:rPr>
        <w:t xml:space="preserve">(J. of Prediction Markets)</w:t>
      </w:r>
    </w:p>
    <w:p>
      <w:pPr>
        <w:spacing w:after="100" w:line="272"/>
      </w:pPr>
      <w:r>
        <w:rPr>
          <w:b/>
          <w:bCs/>
          <w:color w:val="2E5496"/>
          <w:sz w:val="21"/>
          <w:szCs w:val="21"/>
        </w:rPr>
        <w:t xml:space="preserve">Year / Venue: </w:t>
      </w:r>
      <w:r>
        <w:rPr>
          <w:sz w:val="21"/>
          <w:szCs w:val="21"/>
        </w:rPr>
        <w:t xml:space="preserve">2020 — The Journal of Prediction Markets, 14(3)</w:t>
      </w:r>
    </w:p>
    <w:p>
      <w:pPr>
        <w:spacing w:after="100" w:line="272"/>
      </w:pPr>
      <w:r>
        <w:rPr>
          <w:b/>
          <w:bCs/>
          <w:color w:val="2E5496"/>
          <w:sz w:val="21"/>
          <w:szCs w:val="21"/>
        </w:rPr>
        <w:t xml:space="preserve">Type / Peer-reviewed: </w:t>
      </w:r>
      <w:r>
        <w:rPr>
          <w:sz w:val="21"/>
          <w:szCs w:val="21"/>
        </w:rPr>
        <w:t xml:space="preserve">Peer-reviewed journal article · Peer-reviewed: Yes · Approx. citations: ~20 (GS)</w:t>
      </w:r>
    </w:p>
    <w:p>
      <w:pPr>
        <w:spacing w:after="120"/>
      </w:pPr>
      <w:r>
        <w:rPr>
          <w:b/>
          <w:bCs/>
          <w:color w:val="2E5496"/>
          <w:sz w:val="21"/>
          <w:szCs w:val="21"/>
        </w:rPr>
        <w:t xml:space="preserve">Link: </w:t>
      </w:r>
      <w:hyperlink w:history="1" r:id="rIdxq3o_v_mqgbb71_mlvnqj">
        <w:r>
          <w:rPr>
            <w:rStyle w:val="Hyperlink"/>
            <w:sz w:val="21"/>
            <w:szCs w:val="21"/>
          </w:rPr>
          <w:t xml:space="preserve">https://www.ubplj.org/index.php/jpm/article/view/1796</w:t>
        </w:r>
      </w:hyperlink>
    </w:p>
    <w:p>
      <w:pPr>
        <w:spacing w:after="100" w:line="272"/>
      </w:pPr>
      <w:r>
        <w:rPr>
          <w:b/>
          <w:bCs/>
          <w:color w:val="2E5496"/>
          <w:sz w:val="21"/>
          <w:szCs w:val="21"/>
        </w:rPr>
        <w:t xml:space="preserve">Summary: </w:t>
      </w:r>
      <w:r>
        <w:rPr>
          <w:sz w:val="21"/>
          <w:szCs w:val="21"/>
        </w:rPr>
        <w:t xml:space="preserve">Documents that PredictIt contracts are chronically mispriced relative to the Iowa Electronic Markets, with large arbitrage profits available in 2016 and smaller-but-real profits in 2020. The mispricing is attributed to PredictIt's design frictions — profit fees, withdrawal fees, and position caps — that keep arbitrageurs from closing the gap.</w:t>
      </w:r>
    </w:p>
    <w:p>
      <w:pPr>
        <w:spacing w:after="100" w:line="272"/>
      </w:pPr>
      <w:r>
        <w:rPr>
          <w:b/>
          <w:bCs/>
          <w:color w:val="2E5496"/>
          <w:sz w:val="21"/>
          <w:szCs w:val="21"/>
        </w:rPr>
        <w:t xml:space="preserve">Main findings: </w:t>
      </w:r>
      <w:r>
        <w:rPr>
          <w:sz w:val="21"/>
          <w:szCs w:val="21"/>
        </w:rPr>
        <w:t xml:space="preserve">Persistent cross-venue mispricing between PredictIt and IEM; fees/position limits are the binding limit to arbitrage that lets it survive.</w:t>
      </w:r>
    </w:p>
    <w:p>
      <w:pPr>
        <w:spacing w:after="100" w:line="272"/>
      </w:pPr>
      <w:r>
        <w:rPr>
          <w:b/>
          <w:bCs/>
          <w:color w:val="2E5496"/>
          <w:sz w:val="21"/>
          <w:szCs w:val="21"/>
        </w:rPr>
        <w:t xml:space="preserve">Data: </w:t>
      </w:r>
      <w:r>
        <w:rPr>
          <w:sz w:val="21"/>
          <w:szCs w:val="21"/>
        </w:rPr>
        <w:t xml:space="preserve">PredictIt and IEM political contracts, 2016 and 2020 cycles.</w:t>
      </w:r>
    </w:p>
    <w:p>
      <w:pPr>
        <w:spacing w:after="100" w:line="272"/>
      </w:pPr>
      <w:r>
        <w:rPr>
          <w:b/>
          <w:bCs/>
          <w:color w:val="2E5496"/>
          <w:sz w:val="21"/>
          <w:szCs w:val="21"/>
        </w:rPr>
        <w:t xml:space="preserve">Methodology: </w:t>
      </w:r>
      <w:r>
        <w:rPr>
          <w:sz w:val="21"/>
          <w:szCs w:val="21"/>
        </w:rPr>
        <w:t xml:space="preserve">Constructs arbitrage portfolios; nets out fees and caps to test executable profitability.</w:t>
      </w:r>
    </w:p>
    <w:p>
      <w:pPr>
        <w:spacing w:after="100" w:line="272"/>
      </w:pPr>
      <w:r>
        <w:rPr>
          <w:b/>
          <w:bCs/>
          <w:color w:val="2E5496"/>
          <w:sz w:val="21"/>
          <w:szCs w:val="21"/>
        </w:rPr>
        <w:t xml:space="preserve">Key limitations: </w:t>
      </w:r>
      <w:r>
        <w:rPr>
          <w:sz w:val="21"/>
          <w:szCs w:val="21"/>
        </w:rPr>
        <w:t xml:space="preserve">Small journal; political contracts only; fee/cap structure is venue-specific.</w:t>
      </w:r>
    </w:p>
    <w:p>
      <w:pPr>
        <w:spacing w:after="100" w:line="272"/>
      </w:pPr>
      <w:r>
        <w:rPr>
          <w:b/>
          <w:bCs/>
          <w:color w:val="2E5496"/>
          <w:sz w:val="21"/>
          <w:szCs w:val="21"/>
        </w:rPr>
        <w:t xml:space="preserve">Relevance to Kalshi: </w:t>
      </w:r>
      <w:r>
        <w:rPr>
          <w:sz w:val="21"/>
          <w:szCs w:val="21"/>
        </w:rPr>
        <w:t xml:space="preserve">Confirms the general lesson for Kalshi arbitrage: gross mispricings are common, but Kalshi's fee schedule and limits are what determine whether they are net-profitable.</w:t>
      </w:r>
    </w:p>
    <w:p>
      <w:pPr>
        <w:spacing w:after="100" w:line="272"/>
      </w:pPr>
      <w:r>
        <w:rPr>
          <w:b/>
          <w:bCs/>
          <w:color w:val="2E5496"/>
          <w:sz w:val="21"/>
          <w:szCs w:val="21"/>
        </w:rPr>
        <w:t xml:space="preserve">Strategy ideas: </w:t>
      </w:r>
      <w:r>
        <w:rPr>
          <w:sz w:val="21"/>
          <w:szCs w:val="21"/>
        </w:rPr>
        <w:t xml:space="preserve">Always model Kalshi fees + position caps into any arbitrage/mispricing signal; the tradable threshold is the gross gap minus these frictions.</w:t>
      </w:r>
    </w:p>
    <w:p>
      <w:pPr>
        <w:pStyle w:val="Heading2"/>
        <w:spacing w:after="120" w:before="240"/>
      </w:pPr>
      <w:r>
        <w:rPr>
          <w:b/>
          <w:bCs/>
          <w:color w:val="2E5496"/>
          <w:sz w:val="26"/>
          <w:szCs w:val="26"/>
        </w:rPr>
        <w:t xml:space="preserve">Section F — Machine Learning &amp; LLM Forecasting</w:t>
      </w:r>
    </w:p>
    <w:p>
      <w:pPr>
        <w:pStyle w:val="Heading3"/>
        <w:spacing w:after="80" w:before="200"/>
      </w:pPr>
      <w:r>
        <w:rPr>
          <w:b/>
          <w:bCs/>
          <w:color w:val="1F3864"/>
          <w:sz w:val="23"/>
          <w:szCs w:val="23"/>
        </w:rPr>
        <w:t xml:space="preserve">[16] AIA Forecaster: Technical Report (agentic LLM forecasting at superforecaster level)</w:t>
      </w:r>
    </w:p>
    <w:p>
      <w:pPr>
        <w:spacing w:after="100" w:line="272"/>
      </w:pPr>
      <w:r>
        <w:rPr>
          <w:b/>
          <w:bCs/>
          <w:color w:val="2E5496"/>
          <w:sz w:val="21"/>
          <w:szCs w:val="21"/>
        </w:rPr>
        <w:t xml:space="preserve">Authors: </w:t>
      </w:r>
      <w:r>
        <w:rPr>
          <w:sz w:val="21"/>
          <w:szCs w:val="21"/>
        </w:rPr>
        <w:t xml:space="preserve">(AIA Forecaster team)</w:t>
      </w:r>
    </w:p>
    <w:p>
      <w:pPr>
        <w:spacing w:after="100" w:line="272"/>
      </w:pPr>
      <w:r>
        <w:rPr>
          <w:b/>
          <w:bCs/>
          <w:color w:val="2E5496"/>
          <w:sz w:val="21"/>
          <w:szCs w:val="21"/>
        </w:rPr>
        <w:t xml:space="preserve">Year / Venue: </w:t>
      </w:r>
      <w:r>
        <w:rPr>
          <w:sz w:val="21"/>
          <w:szCs w:val="21"/>
        </w:rPr>
        <w:t xml:space="preserve">2025 — arXiv:2511.07678</w:t>
      </w:r>
    </w:p>
    <w:p>
      <w:pPr>
        <w:spacing w:after="100" w:line="272"/>
      </w:pPr>
      <w:r>
        <w:rPr>
          <w:b/>
          <w:bCs/>
          <w:color w:val="2E5496"/>
          <w:sz w:val="21"/>
          <w:szCs w:val="21"/>
        </w:rPr>
        <w:t xml:space="preserve">Type / Peer-reviewed: </w:t>
      </w:r>
      <w:r>
        <w:rPr>
          <w:sz w:val="21"/>
          <w:szCs w:val="21"/>
        </w:rPr>
        <w:t xml:space="preserve">Preprint / technical report (arXiv) · Peer-reviewed: No (preprint) · Approx. citations: New (n/a)</w:t>
      </w:r>
    </w:p>
    <w:p>
      <w:pPr>
        <w:spacing w:after="120"/>
      </w:pPr>
      <w:r>
        <w:rPr>
          <w:b/>
          <w:bCs/>
          <w:color w:val="2E5496"/>
          <w:sz w:val="21"/>
          <w:szCs w:val="21"/>
        </w:rPr>
        <w:t xml:space="preserve">Link: </w:t>
      </w:r>
      <w:hyperlink w:history="1" r:id="rId3wy_7puv25aoyvadj6j6q">
        <w:r>
          <w:rPr>
            <w:rStyle w:val="Hyperlink"/>
            <w:sz w:val="21"/>
            <w:szCs w:val="21"/>
          </w:rPr>
          <w:t xml:space="preserve">https://arxiv.org/abs/2511.07678</w:t>
        </w:r>
      </w:hyperlink>
    </w:p>
    <w:p>
      <w:pPr>
        <w:spacing w:after="100" w:line="272"/>
      </w:pPr>
      <w:r>
        <w:rPr>
          <w:b/>
          <w:bCs/>
          <w:color w:val="2E5496"/>
          <w:sz w:val="21"/>
          <w:szCs w:val="21"/>
        </w:rPr>
        <w:t xml:space="preserve">Summary: </w:t>
      </w:r>
      <w:r>
        <w:rPr>
          <w:sz w:val="21"/>
          <w:szCs w:val="21"/>
        </w:rPr>
        <w:t xml:space="preserve">Reports an agentic forecasting system that reaches human-superforecaster accuracy on event-forecasting benchmarks by combining agentic search over high-quality news, a supervisor agent that reconciles conflicting sub-forecasts, and statistical calibration. Contextualizes earlier over-optimistic LLM-forecasting claims that were undercut by information leakage and post-resolution contamination, and shows disciplined pipelines can close the gap to superforecasters.</w:t>
      </w:r>
    </w:p>
    <w:p>
      <w:pPr>
        <w:spacing w:after="100" w:line="272"/>
      </w:pPr>
      <w:r>
        <w:rPr>
          <w:b/>
          <w:bCs/>
          <w:color w:val="2E5496"/>
          <w:sz w:val="21"/>
          <w:szCs w:val="21"/>
        </w:rPr>
        <w:t xml:space="preserve">Main findings: </w:t>
      </w:r>
      <w:r>
        <w:rPr>
          <w:sz w:val="21"/>
          <w:szCs w:val="21"/>
        </w:rPr>
        <w:t xml:space="preserve">A calibrated, retrieval-grounded multi-agent pipeline matches superforecasters; naive single-model prompting does not and is prone to leakage/contamination artifacts.</w:t>
      </w:r>
    </w:p>
    <w:p>
      <w:pPr>
        <w:spacing w:after="100" w:line="272"/>
      </w:pPr>
      <w:r>
        <w:rPr>
          <w:b/>
          <w:bCs/>
          <w:color w:val="2E5496"/>
          <w:sz w:val="21"/>
          <w:szCs w:val="21"/>
        </w:rPr>
        <w:t xml:space="preserve">Data: </w:t>
      </w:r>
      <w:r>
        <w:rPr>
          <w:sz w:val="21"/>
          <w:szCs w:val="21"/>
        </w:rPr>
        <w:t xml:space="preserve">Event-forecasting benchmarks with post-cutoff resolution.</w:t>
      </w:r>
    </w:p>
    <w:p>
      <w:pPr>
        <w:spacing w:after="100" w:line="272"/>
      </w:pPr>
      <w:r>
        <w:rPr>
          <w:b/>
          <w:bCs/>
          <w:color w:val="2E5496"/>
          <w:sz w:val="21"/>
          <w:szCs w:val="21"/>
        </w:rPr>
        <w:t xml:space="preserve">Methodology: </w:t>
      </w:r>
      <w:r>
        <w:rPr>
          <w:sz w:val="21"/>
          <w:szCs w:val="21"/>
        </w:rPr>
        <w:t xml:space="preserve">Multi-agent RAG + supervisor reconciliation + post-hoc statistical calibration.</w:t>
      </w:r>
    </w:p>
    <w:p>
      <w:pPr>
        <w:spacing w:after="100" w:line="272"/>
      </w:pPr>
      <w:r>
        <w:rPr>
          <w:b/>
          <w:bCs/>
          <w:color w:val="2E5496"/>
          <w:sz w:val="21"/>
          <w:szCs w:val="21"/>
        </w:rPr>
        <w:t xml:space="preserve">Key limitations: </w:t>
      </w:r>
      <w:r>
        <w:rPr>
          <w:sz w:val="21"/>
          <w:szCs w:val="21"/>
        </w:rPr>
        <w:t xml:space="preserve">Preprint/technical report; benchmark forecasting is not the same as net-of-cost trading; compute-heavy.</w:t>
      </w:r>
    </w:p>
    <w:p>
      <w:pPr>
        <w:spacing w:after="100" w:line="272"/>
      </w:pPr>
      <w:r>
        <w:rPr>
          <w:b/>
          <w:bCs/>
          <w:color w:val="2E5496"/>
          <w:sz w:val="21"/>
          <w:szCs w:val="21"/>
        </w:rPr>
        <w:t xml:space="preserve">Relevance to Kalshi: </w:t>
      </w:r>
      <w:r>
        <w:rPr>
          <w:sz w:val="21"/>
          <w:szCs w:val="21"/>
        </w:rPr>
        <w:t xml:space="preserve">A blueprint for an automated Kalshi forecasting engine: retrieval + agent reconciliation + explicit calibration is the architecture most likely to beat raw market prices.</w:t>
      </w:r>
    </w:p>
    <w:p>
      <w:pPr>
        <w:spacing w:after="100" w:line="272"/>
      </w:pPr>
      <w:r>
        <w:rPr>
          <w:b/>
          <w:bCs/>
          <w:color w:val="2E5496"/>
          <w:sz w:val="21"/>
          <w:szCs w:val="21"/>
        </w:rPr>
        <w:t xml:space="preserve">Strategy ideas: </w:t>
      </w:r>
      <w:r>
        <w:rPr>
          <w:sz w:val="21"/>
          <w:szCs w:val="21"/>
        </w:rPr>
        <w:t xml:space="preserve">Build a retrieval-grounded, multi-agent, calibrated forecaster; trade only contracts where its calibrated probability diverges from Kalshi price beyond fees.</w:t>
      </w:r>
    </w:p>
    <w:p>
      <w:r>
        <w:br w:type="page"/>
      </w:r>
    </w:p>
    <w:p>
      <w:pPr>
        <w:pStyle w:val="Heading1"/>
        <w:spacing w:after="160" w:before="320"/>
      </w:pPr>
      <w:r>
        <w:rPr>
          <w:b/>
          <w:bCs/>
          <w:color w:val="1F3864"/>
          <w:sz w:val="30"/>
          <w:szCs w:val="30"/>
        </w:rPr>
        <w:t xml:space="preserve">Synthesis Across the Literature</w:t>
      </w:r>
    </w:p>
    <w:p>
      <w:pPr>
        <w:pStyle w:val="Heading2"/>
        <w:spacing w:after="120" w:before="240"/>
      </w:pPr>
      <w:r>
        <w:rPr>
          <w:b/>
          <w:bCs/>
          <w:color w:val="2E5496"/>
          <w:sz w:val="26"/>
          <w:szCs w:val="26"/>
        </w:rPr>
        <w:t xml:space="preserve">1. Strongest findings that recur across multiple papers</w:t>
      </w:r>
    </w:p>
    <w:p>
      <w:pPr>
        <w:spacing w:after="120" w:line="276"/>
      </w:pPr>
      <w:r>
        <w:rPr>
          <w:b/>
          <w:bCs/>
          <w:color w:val="1E7145"/>
          <w:sz w:val="21"/>
          <w:szCs w:val="21"/>
        </w:rPr>
        <w:t xml:space="preserve">Markets beat polls and sharpen toward expiry (well-established). </w:t>
      </w:r>
      <w:r>
        <w:rPr>
          <w:sz w:val="21"/>
          <w:szCs w:val="21"/>
        </w:rPr>
        <w:t xml:space="preserve">IEM prices beat polls ~74% of the time and improve with horizon (Berg–Nelson–Rietz 2008); Kalshi prices 'improve in accuracy as markets approach closing' (Bürgi–Deng–Whelan 2025); calibration is good near expiry (Page–Clemen 2013). Four independent datasets, one conclusion.</w:t>
      </w:r>
    </w:p>
    <w:p>
      <w:pPr>
        <w:spacing w:after="120" w:line="276"/>
      </w:pPr>
      <w:r>
        <w:rPr>
          <w:b/>
          <w:bCs/>
          <w:color w:val="1E7145"/>
          <w:sz w:val="21"/>
          <w:szCs w:val="21"/>
        </w:rPr>
        <w:t xml:space="preserve">A favorite-longshot bias is pervasive and now measured on Kalshi (well-established). </w:t>
      </w:r>
      <w:r>
        <w:rPr>
          <w:sz w:val="21"/>
          <w:szCs w:val="21"/>
        </w:rPr>
        <w:t xml:space="preserve">Documented in horse racing (Snowberg–Wolfers 2010), Intrade (Page–Clemen 2013), theory (Wolfers–Zitzewitz 2006; Manski 2006) and — decisively — Kalshi transaction data (Bürgi–Deng–Whelan 2025). Cheap contracts are overpriced; heavy favorites are mildly underpriced.</w:t>
      </w:r>
    </w:p>
    <w:p>
      <w:pPr>
        <w:spacing w:after="120" w:line="276"/>
      </w:pPr>
      <w:r>
        <w:rPr>
          <w:b/>
          <w:bCs/>
          <w:color w:val="1E7145"/>
          <w:sz w:val="21"/>
          <w:szCs w:val="21"/>
        </w:rPr>
        <w:t xml:space="preserve">Inefficiency scales with thinness and horizon (well-established). </w:t>
      </w:r>
      <w:r>
        <w:rPr>
          <w:sz w:val="21"/>
          <w:szCs w:val="21"/>
        </w:rPr>
        <w:t xml:space="preserve">Bias widens with time-to-expiration (Page–Clemen 2013); underreaction to news is far larger in low-liquidity states (Angelini–De Angelis 2026); price impact and arbitrage half-lives are huge early and collapse as depth grows (Polymarket 2024 anatomy).</w:t>
      </w:r>
    </w:p>
    <w:p>
      <w:pPr>
        <w:spacing w:after="120" w:line="276"/>
      </w:pPr>
      <w:r>
        <w:rPr>
          <w:b/>
          <w:bCs/>
          <w:color w:val="1E7145"/>
          <w:sz w:val="21"/>
          <w:szCs w:val="21"/>
        </w:rPr>
        <w:t xml:space="preserve">Prices are not literally probabilities (well-established, mostly theoretical). </w:t>
      </w:r>
      <w:r>
        <w:rPr>
          <w:sz w:val="21"/>
          <w:szCs w:val="21"/>
        </w:rPr>
        <w:t xml:space="preserve">Manski (2006) and Wolfers–Zitzewitz (2006) agree the price reflects the marginal/informed trader, biased by risk aversion and disagreement — the exact mechanism Bürgi–Deng–Whelan formalize via Makers.</w:t>
      </w:r>
    </w:p>
    <w:p>
      <w:pPr>
        <w:pStyle w:val="Heading2"/>
        <w:spacing w:after="120" w:before="240"/>
      </w:pPr>
      <w:r>
        <w:rPr>
          <w:b/>
          <w:bCs/>
          <w:color w:val="2E5496"/>
          <w:sz w:val="26"/>
          <w:szCs w:val="26"/>
        </w:rPr>
        <w:t xml:space="preserve">2. The most commonly documented inefficiencies</w:t>
      </w:r>
    </w:p>
    <w:p>
      <w:pPr>
        <w:spacing w:after="120" w:line="276"/>
      </w:pPr>
      <w:r>
        <w:rPr>
          <w:b/>
          <w:bCs/>
          <w:sz w:val="21"/>
          <w:szCs w:val="21"/>
        </w:rPr>
        <w:t xml:space="preserve">Favorite-longshot bias</w:t>
      </w:r>
      <w:r>
        <w:rPr>
          <w:sz w:val="21"/>
          <w:szCs w:val="21"/>
        </w:rPr>
        <w:t xml:space="preserve"> (extreme prices mispriced); </w:t>
      </w:r>
      <w:r>
        <w:rPr>
          <w:b/>
          <w:bCs/>
          <w:sz w:val="21"/>
          <w:szCs w:val="21"/>
        </w:rPr>
        <w:t xml:space="preserve">horizon-dependent miscalibration</w:t>
      </w:r>
      <w:r>
        <w:rPr>
          <w:sz w:val="21"/>
          <w:szCs w:val="21"/>
        </w:rPr>
        <w:t xml:space="preserve"> (far-dated contracts biased); </w:t>
      </w:r>
      <w:r>
        <w:rPr>
          <w:b/>
          <w:bCs/>
          <w:sz w:val="21"/>
          <w:szCs w:val="21"/>
        </w:rPr>
        <w:t xml:space="preserve">short-horizon underreaction to public news</w:t>
      </w:r>
      <w:r>
        <w:rPr>
          <w:sz w:val="21"/>
          <w:szCs w:val="21"/>
        </w:rPr>
        <w:t xml:space="preserve"> (drift after benchmark moves); </w:t>
      </w:r>
      <w:r>
        <w:rPr>
          <w:b/>
          <w:bCs/>
          <w:sz w:val="21"/>
          <w:szCs w:val="21"/>
        </w:rPr>
        <w:t xml:space="preserve">cross-platform Law-of-One-Price violations</w:t>
      </w:r>
      <w:r>
        <w:rPr>
          <w:sz w:val="21"/>
          <w:szCs w:val="21"/>
        </w:rPr>
        <w:t xml:space="preserve"> (2–4% Kalshi↔Polymarket gaps); </w:t>
      </w:r>
      <w:r>
        <w:rPr>
          <w:b/>
          <w:bCs/>
          <w:sz w:val="21"/>
          <w:szCs w:val="21"/>
        </w:rPr>
        <w:t xml:space="preserve">thin-market / early-life distortions</w:t>
      </w:r>
      <w:r>
        <w:rPr>
          <w:sz w:val="21"/>
          <w:szCs w:val="21"/>
        </w:rPr>
        <w:t xml:space="preserve"> (high price impact, wide arb bands); and </w:t>
      </w:r>
      <w:r>
        <w:rPr>
          <w:b/>
          <w:bCs/>
          <w:sz w:val="21"/>
          <w:szCs w:val="21"/>
        </w:rPr>
        <w:t xml:space="preserve">order-flow predictability</w:t>
      </w:r>
      <w:r>
        <w:rPr>
          <w:sz w:val="21"/>
          <w:szCs w:val="21"/>
        </w:rPr>
        <w:t xml:space="preserve"> (large-trade imbalance forecasts returns).</w:t>
      </w:r>
    </w:p>
    <w:p>
      <w:pPr>
        <w:pStyle w:val="Heading2"/>
        <w:spacing w:after="120" w:before="240"/>
      </w:pPr>
      <w:r>
        <w:rPr>
          <w:b/>
          <w:bCs/>
          <w:color w:val="2E5496"/>
          <w:sz w:val="26"/>
          <w:szCs w:val="26"/>
        </w:rPr>
        <w:t xml:space="preserve">3. Persistent vs. transient inefficiencies</w:t>
      </w:r>
    </w:p>
    <w:p>
      <w:pPr>
        <w:spacing w:after="120" w:line="276"/>
      </w:pPr>
      <w:r>
        <w:rPr>
          <w:b/>
          <w:bCs/>
          <w:color w:val="1E7145"/>
          <w:sz w:val="21"/>
          <w:szCs w:val="21"/>
        </w:rPr>
        <w:t xml:space="preserve">Persistent (structural). </w:t>
      </w:r>
      <w:r>
        <w:rPr>
          <w:sz w:val="21"/>
          <w:szCs w:val="21"/>
        </w:rPr>
        <w:t xml:space="preserve">The favorite-longshot bias survives across venues and decades because it is rooted in probability misperception (Snowberg–Wolfers) and reinforced by fees/spreads; it is present in current Kalshi data. Cross-platform LOP violations persist because resolution-rule differences make arbitrage capital-intensive or unenforceable — a genuine limit to arbitrage, not a fleeting glitch (Gebele et al. 2026; the PredictIt–IEM study).</w:t>
      </w:r>
    </w:p>
    <w:p>
      <w:pPr>
        <w:spacing w:after="120" w:line="276"/>
      </w:pPr>
      <w:r>
        <w:rPr>
          <w:b/>
          <w:bCs/>
          <w:color w:val="9C6500"/>
          <w:sz w:val="21"/>
          <w:szCs w:val="21"/>
        </w:rPr>
        <w:t xml:space="preserve">Transient (competed away). </w:t>
      </w:r>
      <w:r>
        <w:rPr>
          <w:sz w:val="21"/>
          <w:szCs w:val="21"/>
        </w:rPr>
        <w:t xml:space="preserve">Pure mechanical mispricings decay fast: Polymarket's arbitrage half-lives fell from hours to under a minute and price impact dropped ~50x as the 2024 market matured. News-underreaction drift lasts only minutes and is largest precisely where spreads are widest. These edges exist but demand speed, automation and careful cost accounting.</w:t>
      </w:r>
    </w:p>
    <w:p>
      <w:pPr>
        <w:pStyle w:val="Heading2"/>
        <w:spacing w:after="120" w:before="240"/>
      </w:pPr>
      <w:r>
        <w:rPr>
          <w:b/>
          <w:bCs/>
          <w:color w:val="2E5496"/>
          <w:sz w:val="26"/>
          <w:szCs w:val="26"/>
        </w:rPr>
        <w:t xml:space="preserve">4. What is most applicable to Kalshi</w:t>
      </w:r>
    </w:p>
    <w:p>
      <w:pPr>
        <w:spacing w:after="120" w:line="276"/>
      </w:pPr>
      <w:r>
        <w:rPr>
          <w:sz w:val="21"/>
          <w:szCs w:val="21"/>
        </w:rPr>
        <w:t xml:space="preserve">Ranked by directness of evidence: (a) Bürgi–Deng–Whelan (2025) — Kalshi's own data — is the single most applicable source and points straight at the Maker-vs-Taker and favorite-longshot edges. (b) Ng–Peng–Tao–Zhou (2025) gives Kalshi-specific lead-lag (Polymarket leads) and order-flow signals. (c) Gebele et al. (2026) and the PredictIt–IEM arbitrage study define the executable, fee-aware cross-venue opportunity that includes Kalshi. (d) Page–Clemen (2013) and Angelini–De Angelis (2026) map where on the Kalshi board the bias and drift concentrate. (e) KalshiBench and AIA Forecaster define how to (and how not to) wire an ML forecaster into Kalshi.</w:t>
      </w:r>
    </w:p>
    <w:p>
      <w:pPr>
        <w:pStyle w:val="Heading2"/>
        <w:spacing w:after="120" w:before="240"/>
      </w:pPr>
      <w:r>
        <w:rPr>
          <w:b/>
          <w:bCs/>
          <w:color w:val="2E5496"/>
          <w:sz w:val="26"/>
          <w:szCs w:val="26"/>
        </w:rPr>
        <w:t xml:space="preserve">5. Research gaps (where little is published)</w:t>
      </w:r>
    </w:p>
    <w:p>
      <w:pPr>
        <w:spacing w:after="120" w:line="276"/>
      </w:pPr>
      <w:r>
        <w:rPr>
          <w:sz w:val="21"/>
          <w:szCs w:val="21"/>
        </w:rPr>
        <w:t xml:space="preserve">The Kalshi-specific literature is only months old, leaving large gaps: </w:t>
      </w:r>
      <w:r>
        <w:rPr>
          <w:sz w:val="21"/>
          <w:szCs w:val="21"/>
        </w:rPr>
        <w:t xml:space="preserve">(i) intraday/seasonal and calendar effects on Kalshi are essentially unstudied; (ii) sports-market efficiency on Kalshi (now a major volume category) has no dedicated academic treatment; (iii) net-of-fee profitability of concrete strategies is asserted more than rigorously backtested; (iv) live cross-venue arbitrage execution — latency, slippage, resolution-risk — lacks an executable study; (v) reinforcement-learning market-making tuned to Kalshi's specific fee schedule is unexplored; and (vi) regulatory-shock effects (CFTC actions, election-market legality) on Kalshi pricing are undocumented. Each gap is also an opportunity: original analysis on Kalshi's own API data would be close to the research frontier.</w:t>
      </w:r>
    </w:p>
    <w:p>
      <w:r>
        <w:br w:type="page"/>
      </w:r>
    </w:p>
    <w:p>
      <w:pPr>
        <w:pStyle w:val="Heading1"/>
        <w:spacing w:after="160" w:before="320"/>
      </w:pPr>
      <w:r>
        <w:rPr>
          <w:b/>
          <w:bCs/>
          <w:color w:val="1F3864"/>
          <w:sz w:val="30"/>
          <w:szCs w:val="30"/>
        </w:rPr>
        <w:t xml:space="preserve">Ranked Strategy &amp; Model Ideas for Kalshi</w:t>
      </w:r>
    </w:p>
    <w:p>
      <w:pPr>
        <w:spacing w:after="120" w:line="276"/>
      </w:pPr>
      <w:r>
        <w:rPr>
          <w:sz w:val="21"/>
          <w:szCs w:val="21"/>
        </w:rPr>
        <w:t xml:space="preserve">Eighteen ideas, ranked by strength of evidence and directness to Kalshi. Confidence reflects the underlying literature, not backtested profitability — every idea must be validated net of Kalshi's fees, spreads and position caps before deployment.</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460"/>
        <w:gridCol w:w="3000"/>
        <w:gridCol w:w="3610"/>
        <w:gridCol w:w="2300"/>
      </w:tblGrid>
      <w:tr>
        <w:trPr>
          <w:tblHeader/>
        </w:trPr>
        <w:tc>
          <w:tcPr>
            <w:tcW w:type="dxa" w:w="460"/>
            <w:shd w:fill="1F3864" w:val="clear"/>
            <w:tcMar>
              <w:top w:type="dxa" w:w="60"/>
              <w:left w:type="dxa" w:w="90"/>
              <w:bottom w:type="dxa" w:w="60"/>
              <w:right w:type="dxa" w:w="90"/>
            </w:tcMar>
          </w:tcPr>
          <w:p>
            <w:r>
              <w:rPr>
                <w:b/>
                <w:bCs/>
                <w:color w:val="FFFFFF"/>
                <w:sz w:val="18"/>
                <w:szCs w:val="18"/>
              </w:rPr>
              <w:t xml:space="preserve">#</w:t>
            </w:r>
          </w:p>
        </w:tc>
        <w:tc>
          <w:tcPr>
            <w:tcW w:type="dxa" w:w="3000"/>
            <w:shd w:fill="1F3864" w:val="clear"/>
            <w:tcMar>
              <w:top w:type="dxa" w:w="60"/>
              <w:left w:type="dxa" w:w="90"/>
              <w:bottom w:type="dxa" w:w="60"/>
              <w:right w:type="dxa" w:w="90"/>
            </w:tcMar>
          </w:tcPr>
          <w:p>
            <w:r>
              <w:rPr>
                <w:b/>
                <w:bCs/>
                <w:color w:val="FFFFFF"/>
                <w:sz w:val="18"/>
                <w:szCs w:val="18"/>
              </w:rPr>
              <w:t xml:space="preserve">Strategy / Signal</w:t>
            </w:r>
          </w:p>
        </w:tc>
        <w:tc>
          <w:tcPr>
            <w:tcW w:type="dxa" w:w="3610"/>
            <w:shd w:fill="1F3864" w:val="clear"/>
            <w:tcMar>
              <w:top w:type="dxa" w:w="60"/>
              <w:left w:type="dxa" w:w="90"/>
              <w:bottom w:type="dxa" w:w="60"/>
              <w:right w:type="dxa" w:w="90"/>
            </w:tcMar>
          </w:tcPr>
          <w:p>
            <w:r>
              <w:rPr>
                <w:b/>
                <w:bCs/>
                <w:color w:val="FFFFFF"/>
                <w:sz w:val="18"/>
                <w:szCs w:val="18"/>
              </w:rPr>
              <w:t xml:space="preserve">Evidence base &amp; mechanism</w:t>
            </w:r>
          </w:p>
        </w:tc>
        <w:tc>
          <w:tcPr>
            <w:tcW w:type="dxa" w:w="2300"/>
            <w:shd w:fill="1F3864" w:val="clear"/>
            <w:tcMar>
              <w:top w:type="dxa" w:w="60"/>
              <w:left w:type="dxa" w:w="90"/>
              <w:bottom w:type="dxa" w:w="60"/>
              <w:right w:type="dxa" w:w="90"/>
            </w:tcMar>
          </w:tcPr>
          <w:p>
            <w:r>
              <w:rPr>
                <w:b/>
                <w:bCs/>
                <w:color w:val="FFFFFF"/>
                <w:sz w:val="18"/>
                <w:szCs w:val="18"/>
              </w:rPr>
              <w:t xml:space="preserve">Confidence</w:t>
            </w:r>
          </w:p>
        </w:tc>
      </w:tr>
      <w:tr>
        <w:tc>
          <w:tcPr>
            <w:tcW w:type="dxa" w:w="460"/>
            <w:shd w:fill="DCE6F1" w:val="clear"/>
            <w:tcMar>
              <w:top w:type="dxa" w:w="60"/>
              <w:left w:type="dxa" w:w="90"/>
              <w:bottom w:type="dxa" w:w="60"/>
              <w:right w:type="dxa" w:w="90"/>
            </w:tcMar>
          </w:tcPr>
          <w:p>
            <w:pPr>
              <w:jc w:val="center"/>
            </w:pPr>
            <w:r>
              <w:rPr>
                <w:sz w:val="18"/>
                <w:szCs w:val="18"/>
              </w:rPr>
              <w:t xml:space="preserve">1</w:t>
            </w:r>
          </w:p>
        </w:tc>
        <w:tc>
          <w:tcPr>
            <w:tcW w:type="dxa" w:w="3000"/>
            <w:shd w:fill="DCE6F1" w:val="clear"/>
            <w:tcMar>
              <w:top w:type="dxa" w:w="60"/>
              <w:left w:type="dxa" w:w="90"/>
              <w:bottom w:type="dxa" w:w="60"/>
              <w:right w:type="dxa" w:w="90"/>
            </w:tcMar>
          </w:tcPr>
          <w:p>
            <w:r>
              <w:rPr>
                <w:b/>
                <w:bCs/>
                <w:sz w:val="18"/>
                <w:szCs w:val="18"/>
              </w:rPr>
              <w:t xml:space="preserve">Maker not Taker (liquidity provision)</w:t>
            </w:r>
          </w:p>
        </w:tc>
        <w:tc>
          <w:tcPr>
            <w:tcW w:type="dxa" w:w="3610"/>
            <w:shd w:fill="DCE6F1" w:val="clear"/>
            <w:tcMar>
              <w:top w:type="dxa" w:w="60"/>
              <w:left w:type="dxa" w:w="90"/>
              <w:bottom w:type="dxa" w:w="60"/>
              <w:right w:type="dxa" w:w="90"/>
            </w:tcMar>
          </w:tcPr>
          <w:p>
            <w:r>
              <w:rPr>
                <w:sz w:val="18"/>
                <w:szCs w:val="18"/>
              </w:rPr>
              <w:t xml:space="preserve">Post resting offers rather than crossing the spread; Bürgi–Deng–Whelan find informed Makers earn small positive returns while Takers systematically lose (avg −20% pre-fee). [11]</w:t>
            </w:r>
          </w:p>
        </w:tc>
        <w:tc>
          <w:tcPr>
            <w:tcW w:type="dxa" w:w="2300"/>
            <w:shd w:fill="DCE6F1" w:val="clear"/>
            <w:tcMar>
              <w:top w:type="dxa" w:w="60"/>
              <w:left w:type="dxa" w:w="90"/>
              <w:bottom w:type="dxa" w:w="60"/>
              <w:right w:type="dxa" w:w="90"/>
            </w:tcMar>
          </w:tcPr>
          <w:p>
            <w:r>
              <w:rPr>
                <w:b/>
                <w:bCs/>
                <w:color w:val="1E7145"/>
                <w:sz w:val="18"/>
                <w:szCs w:val="18"/>
              </w:rPr>
              <w:t xml:space="preserve">Well-established (Kalshi data)</w:t>
            </w:r>
          </w:p>
        </w:tc>
      </w:tr>
      <w:tr>
        <w:tc>
          <w:tcPr>
            <w:tcW w:type="dxa" w:w="460"/>
            <w:shd w:fill="FFFFFF" w:val="clear"/>
            <w:tcMar>
              <w:top w:type="dxa" w:w="60"/>
              <w:left w:type="dxa" w:w="90"/>
              <w:bottom w:type="dxa" w:w="60"/>
              <w:right w:type="dxa" w:w="90"/>
            </w:tcMar>
          </w:tcPr>
          <w:p>
            <w:pPr>
              <w:jc w:val="center"/>
            </w:pPr>
            <w:r>
              <w:rPr>
                <w:sz w:val="18"/>
                <w:szCs w:val="18"/>
              </w:rPr>
              <w:t xml:space="preserve">2</w:t>
            </w:r>
          </w:p>
        </w:tc>
        <w:tc>
          <w:tcPr>
            <w:tcW w:type="dxa" w:w="3000"/>
            <w:shd w:fill="FFFFFF" w:val="clear"/>
            <w:tcMar>
              <w:top w:type="dxa" w:w="60"/>
              <w:left w:type="dxa" w:w="90"/>
              <w:bottom w:type="dxa" w:w="60"/>
              <w:right w:type="dxa" w:w="90"/>
            </w:tcMar>
          </w:tcPr>
          <w:p>
            <w:r>
              <w:rPr>
                <w:b/>
                <w:bCs/>
                <w:sz w:val="18"/>
                <w:szCs w:val="18"/>
              </w:rPr>
              <w:t xml:space="preserve">Fade extreme longshots</w:t>
            </w:r>
          </w:p>
        </w:tc>
        <w:tc>
          <w:tcPr>
            <w:tcW w:type="dxa" w:w="3610"/>
            <w:shd w:fill="FFFFFF" w:val="clear"/>
            <w:tcMar>
              <w:top w:type="dxa" w:w="60"/>
              <w:left w:type="dxa" w:w="90"/>
              <w:bottom w:type="dxa" w:w="60"/>
              <w:right w:type="dxa" w:w="90"/>
            </w:tcMar>
          </w:tcPr>
          <w:p>
            <w:r>
              <w:rPr>
                <w:sz w:val="18"/>
                <w:szCs w:val="18"/>
              </w:rPr>
              <w:t xml:space="preserve">Sub-15¢ contracts win far less than break-even across horse racing, Intrade and Kalshi. Short/avoid cheap tails. [8][6][11]</w:t>
            </w:r>
          </w:p>
        </w:tc>
        <w:tc>
          <w:tcPr>
            <w:tcW w:type="dxa" w:w="2300"/>
            <w:shd w:fill="FFFFFF" w:val="clear"/>
            <w:tcMar>
              <w:top w:type="dxa" w:w="60"/>
              <w:left w:type="dxa" w:w="90"/>
              <w:bottom w:type="dxa" w:w="60"/>
              <w:right w:type="dxa" w:w="90"/>
            </w:tcMar>
          </w:tcPr>
          <w:p>
            <w:r>
              <w:rPr>
                <w:b/>
                <w:bCs/>
                <w:color w:val="1E7145"/>
                <w:sz w:val="18"/>
                <w:szCs w:val="18"/>
              </w:rPr>
              <w:t xml:space="preserve">Well-established</w:t>
            </w:r>
          </w:p>
        </w:tc>
      </w:tr>
      <w:tr>
        <w:tc>
          <w:tcPr>
            <w:tcW w:type="dxa" w:w="460"/>
            <w:shd w:fill="DCE6F1" w:val="clear"/>
            <w:tcMar>
              <w:top w:type="dxa" w:w="60"/>
              <w:left w:type="dxa" w:w="90"/>
              <w:bottom w:type="dxa" w:w="60"/>
              <w:right w:type="dxa" w:w="90"/>
            </w:tcMar>
          </w:tcPr>
          <w:p>
            <w:pPr>
              <w:jc w:val="center"/>
            </w:pPr>
            <w:r>
              <w:rPr>
                <w:sz w:val="18"/>
                <w:szCs w:val="18"/>
              </w:rPr>
              <w:t xml:space="preserve">3</w:t>
            </w:r>
          </w:p>
        </w:tc>
        <w:tc>
          <w:tcPr>
            <w:tcW w:type="dxa" w:w="3000"/>
            <w:shd w:fill="DCE6F1" w:val="clear"/>
            <w:tcMar>
              <w:top w:type="dxa" w:w="60"/>
              <w:left w:type="dxa" w:w="90"/>
              <w:bottom w:type="dxa" w:w="60"/>
              <w:right w:type="dxa" w:w="90"/>
            </w:tcMar>
          </w:tcPr>
          <w:p>
            <w:r>
              <w:rPr>
                <w:b/>
                <w:bCs/>
                <w:sz w:val="18"/>
                <w:szCs w:val="18"/>
              </w:rPr>
              <w:t xml:space="preserve">Lean into heavy favorites</w:t>
            </w:r>
          </w:p>
        </w:tc>
        <w:tc>
          <w:tcPr>
            <w:tcW w:type="dxa" w:w="3610"/>
            <w:shd w:fill="DCE6F1" w:val="clear"/>
            <w:tcMar>
              <w:top w:type="dxa" w:w="60"/>
              <w:left w:type="dxa" w:w="90"/>
              <w:bottom w:type="dxa" w:w="60"/>
              <w:right w:type="dxa" w:w="90"/>
            </w:tcMar>
          </w:tcPr>
          <w:p>
            <w:r>
              <w:rPr>
                <w:sz w:val="18"/>
                <w:szCs w:val="18"/>
              </w:rPr>
              <w:t xml:space="preserve">High-price contracts win slightly more than implied and yield small positive returns on Kalshi. [11][6]</w:t>
            </w:r>
          </w:p>
        </w:tc>
        <w:tc>
          <w:tcPr>
            <w:tcW w:type="dxa" w:w="2300"/>
            <w:shd w:fill="DCE6F1" w:val="clear"/>
            <w:tcMar>
              <w:top w:type="dxa" w:w="60"/>
              <w:left w:type="dxa" w:w="90"/>
              <w:bottom w:type="dxa" w:w="60"/>
              <w:right w:type="dxa" w:w="90"/>
            </w:tcMar>
          </w:tcPr>
          <w:p>
            <w:r>
              <w:rPr>
                <w:b/>
                <w:bCs/>
                <w:color w:val="1E7145"/>
                <w:sz w:val="18"/>
                <w:szCs w:val="18"/>
              </w:rPr>
              <w:t xml:space="preserve">Well-established</w:t>
            </w:r>
          </w:p>
        </w:tc>
      </w:tr>
      <w:tr>
        <w:tc>
          <w:tcPr>
            <w:tcW w:type="dxa" w:w="460"/>
            <w:shd w:fill="FFFFFF" w:val="clear"/>
            <w:tcMar>
              <w:top w:type="dxa" w:w="60"/>
              <w:left w:type="dxa" w:w="90"/>
              <w:bottom w:type="dxa" w:w="60"/>
              <w:right w:type="dxa" w:w="90"/>
            </w:tcMar>
          </w:tcPr>
          <w:p>
            <w:pPr>
              <w:jc w:val="center"/>
            </w:pPr>
            <w:r>
              <w:rPr>
                <w:sz w:val="18"/>
                <w:szCs w:val="18"/>
              </w:rPr>
              <w:t xml:space="preserve">4</w:t>
            </w:r>
          </w:p>
        </w:tc>
        <w:tc>
          <w:tcPr>
            <w:tcW w:type="dxa" w:w="3000"/>
            <w:shd w:fill="FFFFFF" w:val="clear"/>
            <w:tcMar>
              <w:top w:type="dxa" w:w="60"/>
              <w:left w:type="dxa" w:w="90"/>
              <w:bottom w:type="dxa" w:w="60"/>
              <w:right w:type="dxa" w:w="90"/>
            </w:tcMar>
          </w:tcPr>
          <w:p>
            <w:r>
              <w:rPr>
                <w:b/>
                <w:bCs/>
                <w:sz w:val="18"/>
                <w:szCs w:val="18"/>
              </w:rPr>
              <w:t xml:space="preserve">Horizon-conditioned calibration overlay</w:t>
            </w:r>
          </w:p>
        </w:tc>
        <w:tc>
          <w:tcPr>
            <w:tcW w:type="dxa" w:w="3610"/>
            <w:shd w:fill="FFFFFF" w:val="clear"/>
            <w:tcMar>
              <w:top w:type="dxa" w:w="60"/>
              <w:left w:type="dxa" w:w="90"/>
              <w:bottom w:type="dxa" w:w="60"/>
              <w:right w:type="dxa" w:w="90"/>
            </w:tcMar>
          </w:tcPr>
          <w:p>
            <w:r>
              <w:rPr>
                <w:sz w:val="18"/>
                <w:szCs w:val="18"/>
              </w:rPr>
              <w:t xml:space="preserve">Bias widens with time-to-expiration; fade far-dated longshots / buy far-dated favorites, tighten near expiry. [6]</w:t>
            </w:r>
          </w:p>
        </w:tc>
        <w:tc>
          <w:tcPr>
            <w:tcW w:type="dxa" w:w="2300"/>
            <w:shd w:fill="FFFFFF" w:val="clear"/>
            <w:tcMar>
              <w:top w:type="dxa" w:w="60"/>
              <w:left w:type="dxa" w:w="90"/>
              <w:bottom w:type="dxa" w:w="60"/>
              <w:right w:type="dxa" w:w="90"/>
            </w:tcMar>
          </w:tcPr>
          <w:p>
            <w:r>
              <w:rPr>
                <w:b/>
                <w:bCs/>
                <w:color w:val="1E7145"/>
                <w:sz w:val="18"/>
                <w:szCs w:val="18"/>
              </w:rPr>
              <w:t xml:space="preserve">Well-established</w:t>
            </w:r>
          </w:p>
        </w:tc>
      </w:tr>
      <w:tr>
        <w:tc>
          <w:tcPr>
            <w:tcW w:type="dxa" w:w="460"/>
            <w:shd w:fill="DCE6F1" w:val="clear"/>
            <w:tcMar>
              <w:top w:type="dxa" w:w="60"/>
              <w:left w:type="dxa" w:w="90"/>
              <w:bottom w:type="dxa" w:w="60"/>
              <w:right w:type="dxa" w:w="90"/>
            </w:tcMar>
          </w:tcPr>
          <w:p>
            <w:pPr>
              <w:jc w:val="center"/>
            </w:pPr>
            <w:r>
              <w:rPr>
                <w:sz w:val="18"/>
                <w:szCs w:val="18"/>
              </w:rPr>
              <w:t xml:space="preserve">5</w:t>
            </w:r>
          </w:p>
        </w:tc>
        <w:tc>
          <w:tcPr>
            <w:tcW w:type="dxa" w:w="3000"/>
            <w:shd w:fill="DCE6F1" w:val="clear"/>
            <w:tcMar>
              <w:top w:type="dxa" w:w="60"/>
              <w:left w:type="dxa" w:w="90"/>
              <w:bottom w:type="dxa" w:w="60"/>
              <w:right w:type="dxa" w:w="90"/>
            </w:tcMar>
          </w:tcPr>
          <w:p>
            <w:r>
              <w:rPr>
                <w:b/>
                <w:bCs/>
                <w:sz w:val="18"/>
                <w:szCs w:val="18"/>
              </w:rPr>
              <w:t xml:space="preserve">Price→probability debiasing curve</w:t>
            </w:r>
          </w:p>
        </w:tc>
        <w:tc>
          <w:tcPr>
            <w:tcW w:type="dxa" w:w="3610"/>
            <w:shd w:fill="DCE6F1" w:val="clear"/>
            <w:tcMar>
              <w:top w:type="dxa" w:w="60"/>
              <w:left w:type="dxa" w:w="90"/>
              <w:bottom w:type="dxa" w:w="60"/>
              <w:right w:type="dxa" w:w="90"/>
            </w:tcMar>
          </w:tcPr>
          <w:p>
            <w:r>
              <w:rPr>
                <w:sz w:val="18"/>
                <w:szCs w:val="18"/>
              </w:rPr>
              <w:t xml:space="preserve">Fit realized-frequency vs. price from history; trade the residual between debiased probability and market price. [2][3][6]</w:t>
            </w:r>
          </w:p>
        </w:tc>
        <w:tc>
          <w:tcPr>
            <w:tcW w:type="dxa" w:w="2300"/>
            <w:shd w:fill="DCE6F1" w:val="clear"/>
            <w:tcMar>
              <w:top w:type="dxa" w:w="60"/>
              <w:left w:type="dxa" w:w="90"/>
              <w:bottom w:type="dxa" w:w="60"/>
              <w:right w:type="dxa" w:w="90"/>
            </w:tcMar>
          </w:tcPr>
          <w:p>
            <w:r>
              <w:rPr>
                <w:b/>
                <w:bCs/>
                <w:color w:val="1E7145"/>
                <w:sz w:val="18"/>
                <w:szCs w:val="18"/>
              </w:rPr>
              <w:t xml:space="preserve">Well-established</w:t>
            </w:r>
          </w:p>
        </w:tc>
      </w:tr>
      <w:tr>
        <w:tc>
          <w:tcPr>
            <w:tcW w:type="dxa" w:w="460"/>
            <w:shd w:fill="FFFFFF" w:val="clear"/>
            <w:tcMar>
              <w:top w:type="dxa" w:w="60"/>
              <w:left w:type="dxa" w:w="90"/>
              <w:bottom w:type="dxa" w:w="60"/>
              <w:right w:type="dxa" w:w="90"/>
            </w:tcMar>
          </w:tcPr>
          <w:p>
            <w:pPr>
              <w:jc w:val="center"/>
            </w:pPr>
            <w:r>
              <w:rPr>
                <w:sz w:val="18"/>
                <w:szCs w:val="18"/>
              </w:rPr>
              <w:t xml:space="preserve">6</w:t>
            </w:r>
          </w:p>
        </w:tc>
        <w:tc>
          <w:tcPr>
            <w:tcW w:type="dxa" w:w="3000"/>
            <w:shd w:fill="FFFFFF" w:val="clear"/>
            <w:tcMar>
              <w:top w:type="dxa" w:w="60"/>
              <w:left w:type="dxa" w:w="90"/>
              <w:bottom w:type="dxa" w:w="60"/>
              <w:right w:type="dxa" w:w="90"/>
            </w:tcMar>
          </w:tcPr>
          <w:p>
            <w:r>
              <w:rPr>
                <w:b/>
                <w:bCs/>
                <w:sz w:val="18"/>
                <w:szCs w:val="18"/>
              </w:rPr>
              <w:t xml:space="preserve">Polymarket-leads-Kalshi lead-lag</w:t>
            </w:r>
          </w:p>
        </w:tc>
        <w:tc>
          <w:tcPr>
            <w:tcW w:type="dxa" w:w="3610"/>
            <w:shd w:fill="FFFFFF" w:val="clear"/>
            <w:tcMar>
              <w:top w:type="dxa" w:w="60"/>
              <w:left w:type="dxa" w:w="90"/>
              <w:bottom w:type="dxa" w:w="60"/>
              <w:right w:type="dxa" w:w="90"/>
            </w:tcMar>
          </w:tcPr>
          <w:p>
            <w:r>
              <w:rPr>
                <w:sz w:val="18"/>
                <w:szCs w:val="18"/>
              </w:rPr>
              <w:t xml:space="preserve">Polymarket leads Kalshi in price discovery when liquid; trade Kalshi off Polymarket moves before it catches up. [12]</w:t>
            </w:r>
          </w:p>
        </w:tc>
        <w:tc>
          <w:tcPr>
            <w:tcW w:type="dxa" w:w="2300"/>
            <w:shd w:fill="FFFFFF" w:val="clear"/>
            <w:tcMar>
              <w:top w:type="dxa" w:w="60"/>
              <w:left w:type="dxa" w:w="90"/>
              <w:bottom w:type="dxa" w:w="60"/>
              <w:right w:type="dxa" w:w="90"/>
            </w:tcMar>
          </w:tcPr>
          <w:p>
            <w:r>
              <w:rPr>
                <w:b/>
                <w:bCs/>
                <w:color w:val="9C6500"/>
                <w:sz w:val="18"/>
                <w:szCs w:val="18"/>
              </w:rPr>
              <w:t xml:space="preserve">Mixed (1 study, 2024 event)</w:t>
            </w:r>
          </w:p>
        </w:tc>
      </w:tr>
      <w:tr>
        <w:tc>
          <w:tcPr>
            <w:tcW w:type="dxa" w:w="460"/>
            <w:shd w:fill="DCE6F1" w:val="clear"/>
            <w:tcMar>
              <w:top w:type="dxa" w:w="60"/>
              <w:left w:type="dxa" w:w="90"/>
              <w:bottom w:type="dxa" w:w="60"/>
              <w:right w:type="dxa" w:w="90"/>
            </w:tcMar>
          </w:tcPr>
          <w:p>
            <w:pPr>
              <w:jc w:val="center"/>
            </w:pPr>
            <w:r>
              <w:rPr>
                <w:sz w:val="18"/>
                <w:szCs w:val="18"/>
              </w:rPr>
              <w:t xml:space="preserve">7</w:t>
            </w:r>
          </w:p>
        </w:tc>
        <w:tc>
          <w:tcPr>
            <w:tcW w:type="dxa" w:w="3000"/>
            <w:shd w:fill="DCE6F1" w:val="clear"/>
            <w:tcMar>
              <w:top w:type="dxa" w:w="60"/>
              <w:left w:type="dxa" w:w="90"/>
              <w:bottom w:type="dxa" w:w="60"/>
              <w:right w:type="dxa" w:w="90"/>
            </w:tcMar>
          </w:tcPr>
          <w:p>
            <w:r>
              <w:rPr>
                <w:b/>
                <w:bCs/>
                <w:sz w:val="18"/>
                <w:szCs w:val="18"/>
              </w:rPr>
              <w:t xml:space="preserve">Large-trade order-flow imbalance signal</w:t>
            </w:r>
          </w:p>
        </w:tc>
        <w:tc>
          <w:tcPr>
            <w:tcW w:type="dxa" w:w="3610"/>
            <w:shd w:fill="DCE6F1" w:val="clear"/>
            <w:tcMar>
              <w:top w:type="dxa" w:w="60"/>
              <w:left w:type="dxa" w:w="90"/>
              <w:bottom w:type="dxa" w:w="60"/>
              <w:right w:type="dxa" w:w="90"/>
            </w:tcMar>
          </w:tcPr>
          <w:p>
            <w:r>
              <w:rPr>
                <w:sz w:val="18"/>
                <w:szCs w:val="18"/>
              </w:rPr>
              <w:t xml:space="preserve">Net directional imbalance from large trades predicts subsequent returns; build from Kalshi tape. [12]</w:t>
            </w:r>
          </w:p>
        </w:tc>
        <w:tc>
          <w:tcPr>
            <w:tcW w:type="dxa" w:w="2300"/>
            <w:shd w:fill="DCE6F1" w:val="clear"/>
            <w:tcMar>
              <w:top w:type="dxa" w:w="60"/>
              <w:left w:type="dxa" w:w="90"/>
              <w:bottom w:type="dxa" w:w="60"/>
              <w:right w:type="dxa" w:w="90"/>
            </w:tcMar>
          </w:tcPr>
          <w:p>
            <w:r>
              <w:rPr>
                <w:b/>
                <w:bCs/>
                <w:color w:val="9C6500"/>
                <w:sz w:val="18"/>
                <w:szCs w:val="18"/>
              </w:rPr>
              <w:t xml:space="preserve">Mixed</w:t>
            </w:r>
          </w:p>
        </w:tc>
      </w:tr>
      <w:tr>
        <w:tc>
          <w:tcPr>
            <w:tcW w:type="dxa" w:w="460"/>
            <w:shd w:fill="FFFFFF" w:val="clear"/>
            <w:tcMar>
              <w:top w:type="dxa" w:w="60"/>
              <w:left w:type="dxa" w:w="90"/>
              <w:bottom w:type="dxa" w:w="60"/>
              <w:right w:type="dxa" w:w="90"/>
            </w:tcMar>
          </w:tcPr>
          <w:p>
            <w:pPr>
              <w:jc w:val="center"/>
            </w:pPr>
            <w:r>
              <w:rPr>
                <w:sz w:val="18"/>
                <w:szCs w:val="18"/>
              </w:rPr>
              <w:t xml:space="preserve">8</w:t>
            </w:r>
          </w:p>
        </w:tc>
        <w:tc>
          <w:tcPr>
            <w:tcW w:type="dxa" w:w="3000"/>
            <w:shd w:fill="FFFFFF" w:val="clear"/>
            <w:tcMar>
              <w:top w:type="dxa" w:w="60"/>
              <w:left w:type="dxa" w:w="90"/>
              <w:bottom w:type="dxa" w:w="60"/>
              <w:right w:type="dxa" w:w="90"/>
            </w:tcMar>
          </w:tcPr>
          <w:p>
            <w:r>
              <w:rPr>
                <w:b/>
                <w:bCs/>
                <w:sz w:val="18"/>
                <w:szCs w:val="18"/>
              </w:rPr>
              <w:t xml:space="preserve">News-underreaction drift (momentum)</w:t>
            </w:r>
          </w:p>
        </w:tc>
        <w:tc>
          <w:tcPr>
            <w:tcW w:type="dxa" w:w="3610"/>
            <w:shd w:fill="FFFFFF" w:val="clear"/>
            <w:tcMar>
              <w:top w:type="dxa" w:w="60"/>
              <w:left w:type="dxa" w:w="90"/>
              <w:bottom w:type="dxa" w:w="60"/>
              <w:right w:type="dxa" w:w="90"/>
            </w:tcMar>
          </w:tcPr>
          <w:p>
            <w:r>
              <w:rPr>
                <w:sz w:val="18"/>
                <w:szCs w:val="18"/>
              </w:rPr>
              <w:t xml:space="preserve">Prices move only ~0.64-for-one to benchmark news; the shortfall predicts minutes of drift, largest in low liquidity. [10]</w:t>
            </w:r>
          </w:p>
        </w:tc>
        <w:tc>
          <w:tcPr>
            <w:tcW w:type="dxa" w:w="2300"/>
            <w:shd w:fill="FFFFFF" w:val="clear"/>
            <w:tcMar>
              <w:top w:type="dxa" w:w="60"/>
              <w:left w:type="dxa" w:w="90"/>
              <w:bottom w:type="dxa" w:w="60"/>
              <w:right w:type="dxa" w:w="90"/>
            </w:tcMar>
          </w:tcPr>
          <w:p>
            <w:r>
              <w:rPr>
                <w:b/>
                <w:bCs/>
                <w:color w:val="9C6500"/>
                <w:sz w:val="18"/>
                <w:szCs w:val="18"/>
              </w:rPr>
              <w:t xml:space="preserve">Mixed (1 preprint)</w:t>
            </w:r>
          </w:p>
        </w:tc>
      </w:tr>
      <w:tr>
        <w:tc>
          <w:tcPr>
            <w:tcW w:type="dxa" w:w="460"/>
            <w:shd w:fill="DCE6F1" w:val="clear"/>
            <w:tcMar>
              <w:top w:type="dxa" w:w="60"/>
              <w:left w:type="dxa" w:w="90"/>
              <w:bottom w:type="dxa" w:w="60"/>
              <w:right w:type="dxa" w:w="90"/>
            </w:tcMar>
          </w:tcPr>
          <w:p>
            <w:pPr>
              <w:jc w:val="center"/>
            </w:pPr>
            <w:r>
              <w:rPr>
                <w:sz w:val="18"/>
                <w:szCs w:val="18"/>
              </w:rPr>
              <w:t xml:space="preserve">9</w:t>
            </w:r>
          </w:p>
        </w:tc>
        <w:tc>
          <w:tcPr>
            <w:tcW w:type="dxa" w:w="3000"/>
            <w:shd w:fill="DCE6F1" w:val="clear"/>
            <w:tcMar>
              <w:top w:type="dxa" w:w="60"/>
              <w:left w:type="dxa" w:w="90"/>
              <w:bottom w:type="dxa" w:w="60"/>
              <w:right w:type="dxa" w:w="90"/>
            </w:tcMar>
          </w:tcPr>
          <w:p>
            <w:r>
              <w:rPr>
                <w:b/>
                <w:bCs/>
                <w:sz w:val="18"/>
                <w:szCs w:val="18"/>
              </w:rPr>
              <w:t xml:space="preserve">Cross-venue LOP arbitrage (fee/rule-aware)</w:t>
            </w:r>
          </w:p>
        </w:tc>
        <w:tc>
          <w:tcPr>
            <w:tcW w:type="dxa" w:w="3610"/>
            <w:shd w:fill="DCE6F1" w:val="clear"/>
            <w:tcMar>
              <w:top w:type="dxa" w:w="60"/>
              <w:left w:type="dxa" w:w="90"/>
              <w:bottom w:type="dxa" w:w="60"/>
              <w:right w:type="dxa" w:w="90"/>
            </w:tcMar>
          </w:tcPr>
          <w:p>
            <w:r>
              <w:rPr>
                <w:sz w:val="18"/>
                <w:szCs w:val="18"/>
              </w:rPr>
              <w:t xml:space="preserve">2–4% Kalshi↔Polymarket gaps on co-listed events; filter by resolution-rule equivalence, net of fees. [9][15]</w:t>
            </w:r>
          </w:p>
        </w:tc>
        <w:tc>
          <w:tcPr>
            <w:tcW w:type="dxa" w:w="2300"/>
            <w:shd w:fill="DCE6F1" w:val="clear"/>
            <w:tcMar>
              <w:top w:type="dxa" w:w="60"/>
              <w:left w:type="dxa" w:w="90"/>
              <w:bottom w:type="dxa" w:w="60"/>
              <w:right w:type="dxa" w:w="90"/>
            </w:tcMar>
          </w:tcPr>
          <w:p>
            <w:r>
              <w:rPr>
                <w:b/>
                <w:bCs/>
                <w:color w:val="9C6500"/>
                <w:sz w:val="18"/>
                <w:szCs w:val="18"/>
              </w:rPr>
              <w:t xml:space="preserve">Mixed (frictions are real)</w:t>
            </w:r>
          </w:p>
        </w:tc>
      </w:tr>
      <w:tr>
        <w:tc>
          <w:tcPr>
            <w:tcW w:type="dxa" w:w="460"/>
            <w:shd w:fill="FFFFFF" w:val="clear"/>
            <w:tcMar>
              <w:top w:type="dxa" w:w="60"/>
              <w:left w:type="dxa" w:w="90"/>
              <w:bottom w:type="dxa" w:w="60"/>
              <w:right w:type="dxa" w:w="90"/>
            </w:tcMar>
          </w:tcPr>
          <w:p>
            <w:pPr>
              <w:jc w:val="center"/>
            </w:pPr>
            <w:r>
              <w:rPr>
                <w:sz w:val="18"/>
                <w:szCs w:val="18"/>
              </w:rPr>
              <w:t xml:space="preserve">10</w:t>
            </w:r>
          </w:p>
        </w:tc>
        <w:tc>
          <w:tcPr>
            <w:tcW w:type="dxa" w:w="3000"/>
            <w:shd w:fill="FFFFFF" w:val="clear"/>
            <w:tcMar>
              <w:top w:type="dxa" w:w="60"/>
              <w:left w:type="dxa" w:w="90"/>
              <w:bottom w:type="dxa" w:w="60"/>
              <w:right w:type="dxa" w:w="90"/>
            </w:tcMar>
          </w:tcPr>
          <w:p>
            <w:r>
              <w:rPr>
                <w:b/>
                <w:bCs/>
                <w:sz w:val="18"/>
                <w:szCs w:val="18"/>
              </w:rPr>
              <w:t xml:space="preserve">New-listing / thin-market edge</w:t>
            </w:r>
          </w:p>
        </w:tc>
        <w:tc>
          <w:tcPr>
            <w:tcW w:type="dxa" w:w="3610"/>
            <w:shd w:fill="FFFFFF" w:val="clear"/>
            <w:tcMar>
              <w:top w:type="dxa" w:w="60"/>
              <w:left w:type="dxa" w:w="90"/>
              <w:bottom w:type="dxa" w:w="60"/>
              <w:right w:type="dxa" w:w="90"/>
            </w:tcMar>
          </w:tcPr>
          <w:p>
            <w:r>
              <w:rPr>
                <w:sz w:val="18"/>
                <w:szCs w:val="18"/>
              </w:rPr>
              <w:t xml:space="preserve">Inefficiency (price impact, wide arb bands) is largest early; concentrate market-making on freshly-listed contracts, exit as depth builds. [14]</w:t>
            </w:r>
          </w:p>
        </w:tc>
        <w:tc>
          <w:tcPr>
            <w:tcW w:type="dxa" w:w="2300"/>
            <w:shd w:fill="FFFFFF" w:val="clear"/>
            <w:tcMar>
              <w:top w:type="dxa" w:w="60"/>
              <w:left w:type="dxa" w:w="90"/>
              <w:bottom w:type="dxa" w:w="60"/>
              <w:right w:type="dxa" w:w="90"/>
            </w:tcMar>
          </w:tcPr>
          <w:p>
            <w:r>
              <w:rPr>
                <w:b/>
                <w:bCs/>
                <w:color w:val="9C6500"/>
                <w:sz w:val="18"/>
                <w:szCs w:val="18"/>
              </w:rPr>
              <w:t xml:space="preserve">Mixed</w:t>
            </w:r>
          </w:p>
        </w:tc>
      </w:tr>
      <w:tr>
        <w:tc>
          <w:tcPr>
            <w:tcW w:type="dxa" w:w="460"/>
            <w:shd w:fill="DCE6F1" w:val="clear"/>
            <w:tcMar>
              <w:top w:type="dxa" w:w="60"/>
              <w:left w:type="dxa" w:w="90"/>
              <w:bottom w:type="dxa" w:w="60"/>
              <w:right w:type="dxa" w:w="90"/>
            </w:tcMar>
          </w:tcPr>
          <w:p>
            <w:pPr>
              <w:jc w:val="center"/>
            </w:pPr>
            <w:r>
              <w:rPr>
                <w:sz w:val="18"/>
                <w:szCs w:val="18"/>
              </w:rPr>
              <w:t xml:space="preserve">11</w:t>
            </w:r>
          </w:p>
        </w:tc>
        <w:tc>
          <w:tcPr>
            <w:tcW w:type="dxa" w:w="3000"/>
            <w:shd w:fill="DCE6F1" w:val="clear"/>
            <w:tcMar>
              <w:top w:type="dxa" w:w="60"/>
              <w:left w:type="dxa" w:w="90"/>
              <w:bottom w:type="dxa" w:w="60"/>
              <w:right w:type="dxa" w:w="90"/>
            </w:tcMar>
          </w:tcPr>
          <w:p>
            <w:r>
              <w:rPr>
                <w:b/>
                <w:bCs/>
                <w:sz w:val="18"/>
                <w:szCs w:val="18"/>
              </w:rPr>
              <w:t xml:space="preserve">Markets-vs-polls divergence trade</w:t>
            </w:r>
          </w:p>
        </w:tc>
        <w:tc>
          <w:tcPr>
            <w:tcW w:type="dxa" w:w="3610"/>
            <w:shd w:fill="DCE6F1" w:val="clear"/>
            <w:tcMar>
              <w:top w:type="dxa" w:w="60"/>
              <w:left w:type="dxa" w:w="90"/>
              <w:bottom w:type="dxa" w:w="60"/>
              <w:right w:type="dxa" w:w="90"/>
            </w:tcMar>
          </w:tcPr>
          <w:p>
            <w:r>
              <w:rPr>
                <w:sz w:val="18"/>
                <w:szCs w:val="18"/>
              </w:rPr>
              <w:t xml:space="preserve">Far from resolution, bias toward the market when Kalshi diverges from a poll model; edge decays near expiry. [5]</w:t>
            </w:r>
          </w:p>
        </w:tc>
        <w:tc>
          <w:tcPr>
            <w:tcW w:type="dxa" w:w="2300"/>
            <w:shd w:fill="DCE6F1" w:val="clear"/>
            <w:tcMar>
              <w:top w:type="dxa" w:w="60"/>
              <w:left w:type="dxa" w:w="90"/>
              <w:bottom w:type="dxa" w:w="60"/>
              <w:right w:type="dxa" w:w="90"/>
            </w:tcMar>
          </w:tcPr>
          <w:p>
            <w:r>
              <w:rPr>
                <w:b/>
                <w:bCs/>
                <w:color w:val="1E7145"/>
                <w:sz w:val="18"/>
                <w:szCs w:val="18"/>
              </w:rPr>
              <w:t xml:space="preserve">Well-established (IEM)</w:t>
            </w:r>
          </w:p>
        </w:tc>
      </w:tr>
      <w:tr>
        <w:tc>
          <w:tcPr>
            <w:tcW w:type="dxa" w:w="460"/>
            <w:shd w:fill="FFFFFF" w:val="clear"/>
            <w:tcMar>
              <w:top w:type="dxa" w:w="60"/>
              <w:left w:type="dxa" w:w="90"/>
              <w:bottom w:type="dxa" w:w="60"/>
              <w:right w:type="dxa" w:w="90"/>
            </w:tcMar>
          </w:tcPr>
          <w:p>
            <w:pPr>
              <w:jc w:val="center"/>
            </w:pPr>
            <w:r>
              <w:rPr>
                <w:sz w:val="18"/>
                <w:szCs w:val="18"/>
              </w:rPr>
              <w:t xml:space="preserve">12</w:t>
            </w:r>
          </w:p>
        </w:tc>
        <w:tc>
          <w:tcPr>
            <w:tcW w:type="dxa" w:w="3000"/>
            <w:shd w:fill="FFFFFF" w:val="clear"/>
            <w:tcMar>
              <w:top w:type="dxa" w:w="60"/>
              <w:left w:type="dxa" w:w="90"/>
              <w:bottom w:type="dxa" w:w="60"/>
              <w:right w:type="dxa" w:w="90"/>
            </w:tcMar>
          </w:tcPr>
          <w:p>
            <w:r>
              <w:rPr>
                <w:b/>
                <w:bCs/>
                <w:sz w:val="18"/>
                <w:szCs w:val="18"/>
              </w:rPr>
              <w:t xml:space="preserve">Retrieval-grounded multi-agent forecaster</w:t>
            </w:r>
          </w:p>
        </w:tc>
        <w:tc>
          <w:tcPr>
            <w:tcW w:type="dxa" w:w="3610"/>
            <w:shd w:fill="FFFFFF" w:val="clear"/>
            <w:tcMar>
              <w:top w:type="dxa" w:w="60"/>
              <w:left w:type="dxa" w:w="90"/>
              <w:bottom w:type="dxa" w:w="60"/>
              <w:right w:type="dxa" w:w="90"/>
            </w:tcMar>
          </w:tcPr>
          <w:p>
            <w:r>
              <w:rPr>
                <w:sz w:val="18"/>
                <w:szCs w:val="18"/>
              </w:rPr>
              <w:t xml:space="preserve">Agentic search + supervisor reconciliation + calibration reaches superforecaster level; trade where its calibrated p diverges from price. [16]</w:t>
            </w:r>
          </w:p>
        </w:tc>
        <w:tc>
          <w:tcPr>
            <w:tcW w:type="dxa" w:w="2300"/>
            <w:shd w:fill="FFFFFF" w:val="clear"/>
            <w:tcMar>
              <w:top w:type="dxa" w:w="60"/>
              <w:left w:type="dxa" w:w="90"/>
              <w:bottom w:type="dxa" w:w="60"/>
              <w:right w:type="dxa" w:w="90"/>
            </w:tcMar>
          </w:tcPr>
          <w:p>
            <w:r>
              <w:rPr>
                <w:b/>
                <w:bCs/>
                <w:color w:val="9C2A2A"/>
                <w:sz w:val="18"/>
                <w:szCs w:val="18"/>
              </w:rPr>
              <w:t xml:space="preserve">Speculative (not yet a trading test)</w:t>
            </w:r>
          </w:p>
        </w:tc>
      </w:tr>
      <w:tr>
        <w:tc>
          <w:tcPr>
            <w:tcW w:type="dxa" w:w="460"/>
            <w:shd w:fill="DCE6F1" w:val="clear"/>
            <w:tcMar>
              <w:top w:type="dxa" w:w="60"/>
              <w:left w:type="dxa" w:w="90"/>
              <w:bottom w:type="dxa" w:w="60"/>
              <w:right w:type="dxa" w:w="90"/>
            </w:tcMar>
          </w:tcPr>
          <w:p>
            <w:pPr>
              <w:jc w:val="center"/>
            </w:pPr>
            <w:r>
              <w:rPr>
                <w:sz w:val="18"/>
                <w:szCs w:val="18"/>
              </w:rPr>
              <w:t xml:space="preserve">13</w:t>
            </w:r>
          </w:p>
        </w:tc>
        <w:tc>
          <w:tcPr>
            <w:tcW w:type="dxa" w:w="3000"/>
            <w:shd w:fill="DCE6F1" w:val="clear"/>
            <w:tcMar>
              <w:top w:type="dxa" w:w="60"/>
              <w:left w:type="dxa" w:w="90"/>
              <w:bottom w:type="dxa" w:w="60"/>
              <w:right w:type="dxa" w:w="90"/>
            </w:tcMar>
          </w:tcPr>
          <w:p>
            <w:r>
              <w:rPr>
                <w:b/>
                <w:bCs/>
                <w:sz w:val="18"/>
                <w:szCs w:val="18"/>
              </w:rPr>
              <w:t xml:space="preserve">Mandatory LLM calibration layer</w:t>
            </w:r>
          </w:p>
        </w:tc>
        <w:tc>
          <w:tcPr>
            <w:tcW w:type="dxa" w:w="3610"/>
            <w:shd w:fill="DCE6F1" w:val="clear"/>
            <w:tcMar>
              <w:top w:type="dxa" w:w="60"/>
              <w:left w:type="dxa" w:w="90"/>
              <w:bottom w:type="dxa" w:w="60"/>
              <w:right w:type="dxa" w:w="90"/>
            </w:tcMar>
          </w:tcPr>
          <w:p>
            <w:r>
              <w:rPr>
                <w:sz w:val="18"/>
                <w:szCs w:val="18"/>
              </w:rPr>
              <w:t xml:space="preserve">Raw LLM probabilities are overconfident and beat by base rates; apply isotonic/Platt calibration before sizing. [7]</w:t>
            </w:r>
          </w:p>
        </w:tc>
        <w:tc>
          <w:tcPr>
            <w:tcW w:type="dxa" w:w="2300"/>
            <w:shd w:fill="DCE6F1" w:val="clear"/>
            <w:tcMar>
              <w:top w:type="dxa" w:w="60"/>
              <w:left w:type="dxa" w:w="90"/>
              <w:bottom w:type="dxa" w:w="60"/>
              <w:right w:type="dxa" w:w="90"/>
            </w:tcMar>
          </w:tcPr>
          <w:p>
            <w:r>
              <w:rPr>
                <w:b/>
                <w:bCs/>
                <w:color w:val="1E7145"/>
                <w:sz w:val="18"/>
                <w:szCs w:val="18"/>
              </w:rPr>
              <w:t xml:space="preserve">Well-established (as guardrail)</w:t>
            </w:r>
          </w:p>
        </w:tc>
      </w:tr>
      <w:tr>
        <w:tc>
          <w:tcPr>
            <w:tcW w:type="dxa" w:w="460"/>
            <w:shd w:fill="FFFFFF" w:val="clear"/>
            <w:tcMar>
              <w:top w:type="dxa" w:w="60"/>
              <w:left w:type="dxa" w:w="90"/>
              <w:bottom w:type="dxa" w:w="60"/>
              <w:right w:type="dxa" w:w="90"/>
            </w:tcMar>
          </w:tcPr>
          <w:p>
            <w:pPr>
              <w:jc w:val="center"/>
            </w:pPr>
            <w:r>
              <w:rPr>
                <w:sz w:val="18"/>
                <w:szCs w:val="18"/>
              </w:rPr>
              <w:t xml:space="preserve">14</w:t>
            </w:r>
          </w:p>
        </w:tc>
        <w:tc>
          <w:tcPr>
            <w:tcW w:type="dxa" w:w="3000"/>
            <w:shd w:fill="FFFFFF" w:val="clear"/>
            <w:tcMar>
              <w:top w:type="dxa" w:w="60"/>
              <w:left w:type="dxa" w:w="90"/>
              <w:bottom w:type="dxa" w:w="60"/>
              <w:right w:type="dxa" w:w="90"/>
            </w:tcMar>
          </w:tcPr>
          <w:p>
            <w:r>
              <w:rPr>
                <w:b/>
                <w:bCs/>
                <w:sz w:val="18"/>
                <w:szCs w:val="18"/>
              </w:rPr>
              <w:t xml:space="preserve">Kalshi macro contracts as cross-asset alpha</w:t>
            </w:r>
          </w:p>
        </w:tc>
        <w:tc>
          <w:tcPr>
            <w:tcW w:type="dxa" w:w="3610"/>
            <w:shd w:fill="FFFFFF" w:val="clear"/>
            <w:tcMar>
              <w:top w:type="dxa" w:w="60"/>
              <w:left w:type="dxa" w:w="90"/>
              <w:bottom w:type="dxa" w:w="60"/>
              <w:right w:type="dxa" w:w="90"/>
            </w:tcMar>
          </w:tcPr>
          <w:p>
            <w:r>
              <w:rPr>
                <w:sz w:val="18"/>
                <w:szCs w:val="18"/>
              </w:rPr>
              <w:t xml:space="preserve">KXFED/KXCPI/KXRECSSNBER probability changes predict crypto volatility beyond futures/IV; use as features elsewhere. [13]</w:t>
            </w:r>
          </w:p>
        </w:tc>
        <w:tc>
          <w:tcPr>
            <w:tcW w:type="dxa" w:w="2300"/>
            <w:shd w:fill="FFFFFF" w:val="clear"/>
            <w:tcMar>
              <w:top w:type="dxa" w:w="60"/>
              <w:left w:type="dxa" w:w="90"/>
              <w:bottom w:type="dxa" w:w="60"/>
              <w:right w:type="dxa" w:w="90"/>
            </w:tcMar>
          </w:tcPr>
          <w:p>
            <w:r>
              <w:rPr>
                <w:b/>
                <w:bCs/>
                <w:color w:val="9C2A2A"/>
                <w:sz w:val="18"/>
                <w:szCs w:val="18"/>
              </w:rPr>
              <w:t xml:space="preserve">Speculative (regime-dependent)</w:t>
            </w:r>
          </w:p>
        </w:tc>
      </w:tr>
      <w:tr>
        <w:tc>
          <w:tcPr>
            <w:tcW w:type="dxa" w:w="460"/>
            <w:shd w:fill="DCE6F1" w:val="clear"/>
            <w:tcMar>
              <w:top w:type="dxa" w:w="60"/>
              <w:left w:type="dxa" w:w="90"/>
              <w:bottom w:type="dxa" w:w="60"/>
              <w:right w:type="dxa" w:w="90"/>
            </w:tcMar>
          </w:tcPr>
          <w:p>
            <w:pPr>
              <w:jc w:val="center"/>
            </w:pPr>
            <w:r>
              <w:rPr>
                <w:sz w:val="18"/>
                <w:szCs w:val="18"/>
              </w:rPr>
              <w:t xml:space="preserve">15</w:t>
            </w:r>
          </w:p>
        </w:tc>
        <w:tc>
          <w:tcPr>
            <w:tcW w:type="dxa" w:w="3000"/>
            <w:shd w:fill="DCE6F1" w:val="clear"/>
            <w:tcMar>
              <w:top w:type="dxa" w:w="60"/>
              <w:left w:type="dxa" w:w="90"/>
              <w:bottom w:type="dxa" w:w="60"/>
              <w:right w:type="dxa" w:w="90"/>
            </w:tcMar>
          </w:tcPr>
          <w:p>
            <w:r>
              <w:rPr>
                <w:b/>
                <w:bCs/>
                <w:sz w:val="18"/>
                <w:szCs w:val="18"/>
              </w:rPr>
              <w:t xml:space="preserve">Implied-depth / price-impact sizing (LMSR-style)</w:t>
            </w:r>
          </w:p>
        </w:tc>
        <w:tc>
          <w:tcPr>
            <w:tcW w:type="dxa" w:w="3610"/>
            <w:shd w:fill="DCE6F1" w:val="clear"/>
            <w:tcMar>
              <w:top w:type="dxa" w:w="60"/>
              <w:left w:type="dxa" w:w="90"/>
              <w:bottom w:type="dxa" w:w="60"/>
              <w:right w:type="dxa" w:w="90"/>
            </w:tcMar>
          </w:tcPr>
          <w:p>
            <w:r>
              <w:rPr>
                <w:sz w:val="18"/>
                <w:szCs w:val="18"/>
              </w:rPr>
              <w:t xml:space="preserve">Fit a liquidity parameter to the Kalshi book to size positions where depth is deepest and impact lowest. [4]</w:t>
            </w:r>
          </w:p>
        </w:tc>
        <w:tc>
          <w:tcPr>
            <w:tcW w:type="dxa" w:w="2300"/>
            <w:shd w:fill="DCE6F1" w:val="clear"/>
            <w:tcMar>
              <w:top w:type="dxa" w:w="60"/>
              <w:left w:type="dxa" w:w="90"/>
              <w:bottom w:type="dxa" w:w="60"/>
              <w:right w:type="dxa" w:w="90"/>
            </w:tcMar>
          </w:tcPr>
          <w:p>
            <w:r>
              <w:rPr>
                <w:b/>
                <w:bCs/>
                <w:color w:val="9C2A2A"/>
                <w:sz w:val="18"/>
                <w:szCs w:val="18"/>
              </w:rPr>
              <w:t xml:space="preserve">Speculative</w:t>
            </w:r>
          </w:p>
        </w:tc>
      </w:tr>
      <w:tr>
        <w:tc>
          <w:tcPr>
            <w:tcW w:type="dxa" w:w="460"/>
            <w:shd w:fill="FFFFFF" w:val="clear"/>
            <w:tcMar>
              <w:top w:type="dxa" w:w="60"/>
              <w:left w:type="dxa" w:w="90"/>
              <w:bottom w:type="dxa" w:w="60"/>
              <w:right w:type="dxa" w:w="90"/>
            </w:tcMar>
          </w:tcPr>
          <w:p>
            <w:pPr>
              <w:jc w:val="center"/>
            </w:pPr>
            <w:r>
              <w:rPr>
                <w:sz w:val="18"/>
                <w:szCs w:val="18"/>
              </w:rPr>
              <w:t xml:space="preserve">16</w:t>
            </w:r>
          </w:p>
        </w:tc>
        <w:tc>
          <w:tcPr>
            <w:tcW w:type="dxa" w:w="3000"/>
            <w:shd w:fill="FFFFFF" w:val="clear"/>
            <w:tcMar>
              <w:top w:type="dxa" w:w="60"/>
              <w:left w:type="dxa" w:w="90"/>
              <w:bottom w:type="dxa" w:w="60"/>
              <w:right w:type="dxa" w:w="90"/>
            </w:tcMar>
          </w:tcPr>
          <w:p>
            <w:r>
              <w:rPr>
                <w:b/>
                <w:bCs/>
                <w:sz w:val="18"/>
                <w:szCs w:val="18"/>
              </w:rPr>
              <w:t xml:space="preserve">Marginal-trader wedge model in thin markets</w:t>
            </w:r>
          </w:p>
        </w:tc>
        <w:tc>
          <w:tcPr>
            <w:tcW w:type="dxa" w:w="3610"/>
            <w:shd w:fill="FFFFFF" w:val="clear"/>
            <w:tcMar>
              <w:top w:type="dxa" w:w="60"/>
              <w:left w:type="dxa" w:w="90"/>
              <w:bottom w:type="dxa" w:w="60"/>
              <w:right w:type="dxa" w:w="90"/>
            </w:tcMar>
          </w:tcPr>
          <w:p>
            <w:r>
              <w:rPr>
                <w:sz w:val="18"/>
                <w:szCs w:val="18"/>
              </w:rPr>
              <w:t xml:space="preserve">Treat thin-market price as marginal-trader belief, not mean; correct with historical frequency curves. [3][2]</w:t>
            </w:r>
          </w:p>
        </w:tc>
        <w:tc>
          <w:tcPr>
            <w:tcW w:type="dxa" w:w="2300"/>
            <w:shd w:fill="FFFFFF" w:val="clear"/>
            <w:tcMar>
              <w:top w:type="dxa" w:w="60"/>
              <w:left w:type="dxa" w:w="90"/>
              <w:bottom w:type="dxa" w:w="60"/>
              <w:right w:type="dxa" w:w="90"/>
            </w:tcMar>
          </w:tcPr>
          <w:p>
            <w:r>
              <w:rPr>
                <w:b/>
                <w:bCs/>
                <w:color w:val="9C6500"/>
                <w:sz w:val="18"/>
                <w:szCs w:val="18"/>
              </w:rPr>
              <w:t xml:space="preserve">Mixed</w:t>
            </w:r>
          </w:p>
        </w:tc>
      </w:tr>
      <w:tr>
        <w:tc>
          <w:tcPr>
            <w:tcW w:type="dxa" w:w="460"/>
            <w:shd w:fill="DCE6F1" w:val="clear"/>
            <w:tcMar>
              <w:top w:type="dxa" w:w="60"/>
              <w:left w:type="dxa" w:w="90"/>
              <w:bottom w:type="dxa" w:w="60"/>
              <w:right w:type="dxa" w:w="90"/>
            </w:tcMar>
          </w:tcPr>
          <w:p>
            <w:pPr>
              <w:jc w:val="center"/>
            </w:pPr>
            <w:r>
              <w:rPr>
                <w:sz w:val="18"/>
                <w:szCs w:val="18"/>
              </w:rPr>
              <w:t xml:space="preserve">17</w:t>
            </w:r>
          </w:p>
        </w:tc>
        <w:tc>
          <w:tcPr>
            <w:tcW w:type="dxa" w:w="3000"/>
            <w:shd w:fill="DCE6F1" w:val="clear"/>
            <w:tcMar>
              <w:top w:type="dxa" w:w="60"/>
              <w:left w:type="dxa" w:w="90"/>
              <w:bottom w:type="dxa" w:w="60"/>
              <w:right w:type="dxa" w:w="90"/>
            </w:tcMar>
          </w:tcPr>
          <w:p>
            <w:r>
              <w:rPr>
                <w:b/>
                <w:bCs/>
                <w:sz w:val="18"/>
                <w:szCs w:val="18"/>
              </w:rPr>
              <w:t xml:space="preserve">RL market-maker tuned to Kalshi fees</w:t>
            </w:r>
          </w:p>
        </w:tc>
        <w:tc>
          <w:tcPr>
            <w:tcW w:type="dxa" w:w="3610"/>
            <w:shd w:fill="DCE6F1" w:val="clear"/>
            <w:tcMar>
              <w:top w:type="dxa" w:w="60"/>
              <w:left w:type="dxa" w:w="90"/>
              <w:bottom w:type="dxa" w:w="60"/>
              <w:right w:type="dxa" w:w="90"/>
            </w:tcMar>
          </w:tcPr>
          <w:p>
            <w:r>
              <w:rPr>
                <w:sz w:val="18"/>
                <w:szCs w:val="18"/>
              </w:rPr>
              <w:t xml:space="preserve">Reinforcement-learning quoting agent optimizing inventory + Kalshi's exact fee schedule; identified research gap. [11][4]</w:t>
            </w:r>
          </w:p>
        </w:tc>
        <w:tc>
          <w:tcPr>
            <w:tcW w:type="dxa" w:w="2300"/>
            <w:shd w:fill="DCE6F1" w:val="clear"/>
            <w:tcMar>
              <w:top w:type="dxa" w:w="60"/>
              <w:left w:type="dxa" w:w="90"/>
              <w:bottom w:type="dxa" w:w="60"/>
              <w:right w:type="dxa" w:w="90"/>
            </w:tcMar>
          </w:tcPr>
          <w:p>
            <w:r>
              <w:rPr>
                <w:b/>
                <w:bCs/>
                <w:color w:val="9C2A2A"/>
                <w:sz w:val="18"/>
                <w:szCs w:val="18"/>
              </w:rPr>
              <w:t xml:space="preserve">Speculative (unstudied)</w:t>
            </w:r>
          </w:p>
        </w:tc>
      </w:tr>
      <w:tr>
        <w:tc>
          <w:tcPr>
            <w:tcW w:type="dxa" w:w="460"/>
            <w:shd w:fill="FFFFFF" w:val="clear"/>
            <w:tcMar>
              <w:top w:type="dxa" w:w="60"/>
              <w:left w:type="dxa" w:w="90"/>
              <w:bottom w:type="dxa" w:w="60"/>
              <w:right w:type="dxa" w:w="90"/>
            </w:tcMar>
          </w:tcPr>
          <w:p>
            <w:pPr>
              <w:jc w:val="center"/>
            </w:pPr>
            <w:r>
              <w:rPr>
                <w:sz w:val="18"/>
                <w:szCs w:val="18"/>
              </w:rPr>
              <w:t xml:space="preserve">18</w:t>
            </w:r>
          </w:p>
        </w:tc>
        <w:tc>
          <w:tcPr>
            <w:tcW w:type="dxa" w:w="3000"/>
            <w:shd w:fill="FFFFFF" w:val="clear"/>
            <w:tcMar>
              <w:top w:type="dxa" w:w="60"/>
              <w:left w:type="dxa" w:w="90"/>
              <w:bottom w:type="dxa" w:w="60"/>
              <w:right w:type="dxa" w:w="90"/>
            </w:tcMar>
          </w:tcPr>
          <w:p>
            <w:r>
              <w:rPr>
                <w:b/>
                <w:bCs/>
                <w:sz w:val="18"/>
                <w:szCs w:val="18"/>
              </w:rPr>
              <w:t xml:space="preserve">Kalshi sports-market efficiency screen</w:t>
            </w:r>
          </w:p>
        </w:tc>
        <w:tc>
          <w:tcPr>
            <w:tcW w:type="dxa" w:w="3610"/>
            <w:shd w:fill="FFFFFF" w:val="clear"/>
            <w:tcMar>
              <w:top w:type="dxa" w:w="60"/>
              <w:left w:type="dxa" w:w="90"/>
              <w:bottom w:type="dxa" w:w="60"/>
              <w:right w:type="dxa" w:w="90"/>
            </w:tcMar>
          </w:tcPr>
          <w:p>
            <w:r>
              <w:rPr>
                <w:sz w:val="18"/>
                <w:szCs w:val="18"/>
              </w:rPr>
              <w:t xml:space="preserve">Apply favorite-longshot + closing-line tests to Kalshi sports (undocumented academically) vs. sportsbook lines. [8][gap]</w:t>
            </w:r>
          </w:p>
        </w:tc>
        <w:tc>
          <w:tcPr>
            <w:tcW w:type="dxa" w:w="2300"/>
            <w:shd w:fill="FFFFFF" w:val="clear"/>
            <w:tcMar>
              <w:top w:type="dxa" w:w="60"/>
              <w:left w:type="dxa" w:w="90"/>
              <w:bottom w:type="dxa" w:w="60"/>
              <w:right w:type="dxa" w:w="90"/>
            </w:tcMar>
          </w:tcPr>
          <w:p>
            <w:r>
              <w:rPr>
                <w:b/>
                <w:bCs/>
                <w:color w:val="9C2A2A"/>
                <w:sz w:val="18"/>
                <w:szCs w:val="18"/>
              </w:rPr>
              <w:t xml:space="preserve">Speculative (research gap)</w:t>
            </w:r>
          </w:p>
        </w:tc>
      </w:tr>
    </w:tbl>
    <w:p>
      <w:pPr>
        <w:spacing w:before="200"/>
      </w:pPr>
      <w:r>
        <w:rPr>
          <w:b/>
          <w:bCs/>
          <w:sz w:val="21"/>
          <w:szCs w:val="21"/>
        </w:rPr>
        <w:t xml:space="preserve">Reading the ranking: </w:t>
      </w:r>
      <w:r>
        <w:rPr>
          <w:sz w:val="21"/>
          <w:szCs w:val="21"/>
        </w:rPr>
        <w:t xml:space="preserve">ideas 1–5 and 11, 13 rest on multiple agreeing studies including Kalshi's own data and are the safest to build first. Ideas 6–10 and 16 have real but thinner support (often a single recent paper or a genuine limit-to-arbitrage) and need careful cost-aware backtesting. Ideas 12, 14, 15, 17, 18 are speculative extrapolations or research gaps — high upside, but you would be building past the published evidence.</w:t>
      </w:r>
    </w:p>
    <w:p>
      <w:r>
        <w:br w:type="page"/>
      </w:r>
    </w:p>
    <w:p>
      <w:pPr>
        <w:pStyle w:val="Heading1"/>
        <w:spacing w:after="160" w:before="320"/>
      </w:pPr>
      <w:r>
        <w:rPr>
          <w:b/>
          <w:bCs/>
          <w:color w:val="1F3864"/>
          <w:sz w:val="30"/>
          <w:szCs w:val="30"/>
        </w:rPr>
        <w:t xml:space="preserve">References (with links)</w:t>
      </w:r>
    </w:p>
    <w:p>
      <w:pPr>
        <w:spacing w:after="120"/>
      </w:pPr>
      <w:r>
        <w:rPr>
          <w:b/>
          <w:bCs/>
          <w:color w:val="1F3864"/>
          <w:sz w:val="21"/>
          <w:szCs w:val="21"/>
        </w:rPr>
        <w:t xml:space="preserve">[1] </w:t>
      </w:r>
      <w:r>
        <w:rPr>
          <w:sz w:val="21"/>
          <w:szCs w:val="21"/>
        </w:rPr>
        <w:t xml:space="preserve">Justin Wolfers &amp; Eric Zitzewitz (2004). Prediction Markets. </w:t>
      </w:r>
      <w:r>
        <w:rPr>
          <w:i/>
          <w:iCs/>
          <w:sz w:val="21"/>
          <w:szCs w:val="21"/>
        </w:rPr>
        <w:t xml:space="preserve">Journal of Economic Perspectives, 18(2), 107–126. </w:t>
      </w:r>
      <w:hyperlink w:history="1" r:id="rId_qzkwdfjevaw6njwcs2fl">
        <w:r>
          <w:rPr>
            <w:rStyle w:val="Hyperlink"/>
            <w:sz w:val="21"/>
            <w:szCs w:val="21"/>
          </w:rPr>
          <w:t xml:space="preserve">https://www.aeaweb.org/articles?id=10.1257/0895330041371321</w:t>
        </w:r>
      </w:hyperlink>
    </w:p>
    <w:p>
      <w:pPr>
        <w:spacing w:after="120"/>
      </w:pPr>
      <w:r>
        <w:rPr>
          <w:b/>
          <w:bCs/>
          <w:color w:val="1F3864"/>
          <w:sz w:val="21"/>
          <w:szCs w:val="21"/>
        </w:rPr>
        <w:t xml:space="preserve">[2] </w:t>
      </w:r>
      <w:r>
        <w:rPr>
          <w:sz w:val="21"/>
          <w:szCs w:val="21"/>
        </w:rPr>
        <w:t xml:space="preserve">Justin Wolfers &amp; Eric Zitzewitz (2006). Interpreting Prediction Market Prices as Probabilities. </w:t>
      </w:r>
      <w:r>
        <w:rPr>
          <w:i/>
          <w:iCs/>
          <w:sz w:val="21"/>
          <w:szCs w:val="21"/>
        </w:rPr>
        <w:t xml:space="preserve">NBER Working Paper No. 12200. </w:t>
      </w:r>
      <w:hyperlink w:history="1" r:id="rIda80omvx7ftnmo6wg229so">
        <w:r>
          <w:rPr>
            <w:rStyle w:val="Hyperlink"/>
            <w:sz w:val="21"/>
            <w:szCs w:val="21"/>
          </w:rPr>
          <w:t xml:space="preserve">https://www.nber.org/papers/w12200</w:t>
        </w:r>
      </w:hyperlink>
    </w:p>
    <w:p>
      <w:pPr>
        <w:spacing w:after="120"/>
      </w:pPr>
      <w:r>
        <w:rPr>
          <w:b/>
          <w:bCs/>
          <w:color w:val="1F3864"/>
          <w:sz w:val="21"/>
          <w:szCs w:val="21"/>
        </w:rPr>
        <w:t xml:space="preserve">[3] </w:t>
      </w:r>
      <w:r>
        <w:rPr>
          <w:sz w:val="21"/>
          <w:szCs w:val="21"/>
        </w:rPr>
        <w:t xml:space="preserve">Charles F. Manski (2006). Interpreting the Predictions of Prediction Markets. </w:t>
      </w:r>
      <w:r>
        <w:rPr>
          <w:i/>
          <w:iCs/>
          <w:sz w:val="21"/>
          <w:szCs w:val="21"/>
        </w:rPr>
        <w:t xml:space="preserve">Economics Letters, 91(3), 425–429. </w:t>
      </w:r>
      <w:hyperlink w:history="1" r:id="rIdguhw2lbrelscujcudxxri">
        <w:r>
          <w:rPr>
            <w:rStyle w:val="Hyperlink"/>
            <w:sz w:val="21"/>
            <w:szCs w:val="21"/>
          </w:rPr>
          <w:t xml:space="preserve">https://www.sciencedirect.com/science/article/abs/pii/S016517650600022X</w:t>
        </w:r>
      </w:hyperlink>
    </w:p>
    <w:p>
      <w:pPr>
        <w:spacing w:after="120"/>
      </w:pPr>
      <w:r>
        <w:rPr>
          <w:b/>
          <w:bCs/>
          <w:color w:val="1F3864"/>
          <w:sz w:val="21"/>
          <w:szCs w:val="21"/>
        </w:rPr>
        <w:t xml:space="preserve">[4] </w:t>
      </w:r>
      <w:r>
        <w:rPr>
          <w:sz w:val="21"/>
          <w:szCs w:val="21"/>
        </w:rPr>
        <w:t xml:space="preserve">Robin Hanson (2003 / 2007). Combinatorial Information Market Design / Logarithmic Market Scoring Rules (LMSR). </w:t>
      </w:r>
      <w:r>
        <w:rPr>
          <w:i/>
          <w:iCs/>
          <w:sz w:val="21"/>
          <w:szCs w:val="21"/>
        </w:rPr>
        <w:t xml:space="preserve">Information Systems Frontiers 5(1); J. of Prediction Markets 1(1). </w:t>
      </w:r>
      <w:hyperlink w:history="1" r:id="rId5nud-ewr7m45077v5lw16">
        <w:r>
          <w:rPr>
            <w:rStyle w:val="Hyperlink"/>
            <w:sz w:val="21"/>
            <w:szCs w:val="21"/>
          </w:rPr>
          <w:t xml:space="preserve">https://mason.gmu.edu/~rhanson/mktscore.pdf</w:t>
        </w:r>
      </w:hyperlink>
    </w:p>
    <w:p>
      <w:pPr>
        <w:spacing w:after="120"/>
      </w:pPr>
      <w:r>
        <w:rPr>
          <w:b/>
          <w:bCs/>
          <w:color w:val="1F3864"/>
          <w:sz w:val="21"/>
          <w:szCs w:val="21"/>
        </w:rPr>
        <w:t xml:space="preserve">[5] </w:t>
      </w:r>
      <w:r>
        <w:rPr>
          <w:sz w:val="21"/>
          <w:szCs w:val="21"/>
        </w:rPr>
        <w:t xml:space="preserve">Joyce Berg, Forrest Nelson &amp; Thomas Rietz (2008). Prediction Market Accuracy in the Long Run. </w:t>
      </w:r>
      <w:r>
        <w:rPr>
          <w:i/>
          <w:iCs/>
          <w:sz w:val="21"/>
          <w:szCs w:val="21"/>
        </w:rPr>
        <w:t xml:space="preserve">International Journal of Forecasting, 24(2), 285–300. </w:t>
      </w:r>
      <w:hyperlink w:history="1" r:id="rIdxh1slvp3hp_yh7i1ozl4m">
        <w:r>
          <w:rPr>
            <w:rStyle w:val="Hyperlink"/>
            <w:sz w:val="21"/>
            <w:szCs w:val="21"/>
          </w:rPr>
          <w:t xml:space="preserve">https://www.sciencedirect.com/science/article/abs/pii/S0169207008000320</w:t>
        </w:r>
      </w:hyperlink>
    </w:p>
    <w:p>
      <w:pPr>
        <w:spacing w:after="120"/>
      </w:pPr>
      <w:r>
        <w:rPr>
          <w:b/>
          <w:bCs/>
          <w:color w:val="1F3864"/>
          <w:sz w:val="21"/>
          <w:szCs w:val="21"/>
        </w:rPr>
        <w:t xml:space="preserve">[6] </w:t>
      </w:r>
      <w:r>
        <w:rPr>
          <w:sz w:val="21"/>
          <w:szCs w:val="21"/>
        </w:rPr>
        <w:t xml:space="preserve">Lionel Page &amp; Robert T. Clemen (2013). Do Prediction Markets Produce Well-Calibrated Probability Forecasts?. </w:t>
      </w:r>
      <w:r>
        <w:rPr>
          <w:i/>
          <w:iCs/>
          <w:sz w:val="21"/>
          <w:szCs w:val="21"/>
        </w:rPr>
        <w:t xml:space="preserve">The Economic Journal, 123(568), 491–513. </w:t>
      </w:r>
      <w:hyperlink w:history="1" r:id="rIdvpcw2xfafb7ttarqdqtxa">
        <w:r>
          <w:rPr>
            <w:rStyle w:val="Hyperlink"/>
            <w:sz w:val="21"/>
            <w:szCs w:val="21"/>
          </w:rPr>
          <w:t xml:space="preserve">https://academic.oup.com/ej/article-abstract/123/568/491/5079498</w:t>
        </w:r>
      </w:hyperlink>
    </w:p>
    <w:p>
      <w:pPr>
        <w:spacing w:after="120"/>
      </w:pPr>
      <w:r>
        <w:rPr>
          <w:b/>
          <w:bCs/>
          <w:color w:val="1F3864"/>
          <w:sz w:val="21"/>
          <w:szCs w:val="21"/>
        </w:rPr>
        <w:t xml:space="preserve">[7] </w:t>
      </w:r>
      <w:r>
        <w:rPr>
          <w:sz w:val="21"/>
          <w:szCs w:val="21"/>
        </w:rPr>
        <w:t xml:space="preserve">Lukas Nel (2025). Do LLMs Know What They Don't Know? KalshiBench: Evaluating Epistemic Calibration via Prediction Markets. </w:t>
      </w:r>
      <w:r>
        <w:rPr>
          <w:i/>
          <w:iCs/>
          <w:sz w:val="21"/>
          <w:szCs w:val="21"/>
        </w:rPr>
        <w:t xml:space="preserve">arXiv:2512.16030. </w:t>
      </w:r>
      <w:hyperlink w:history="1" r:id="rIdswtmo47jfirtpt4s-kszk">
        <w:r>
          <w:rPr>
            <w:rStyle w:val="Hyperlink"/>
            <w:sz w:val="21"/>
            <w:szCs w:val="21"/>
          </w:rPr>
          <w:t xml:space="preserve">https://arxiv.org/abs/2512.16030</w:t>
        </w:r>
      </w:hyperlink>
    </w:p>
    <w:p>
      <w:pPr>
        <w:spacing w:after="120"/>
      </w:pPr>
      <w:r>
        <w:rPr>
          <w:b/>
          <w:bCs/>
          <w:color w:val="1F3864"/>
          <w:sz w:val="21"/>
          <w:szCs w:val="21"/>
        </w:rPr>
        <w:t xml:space="preserve">[8] </w:t>
      </w:r>
      <w:r>
        <w:rPr>
          <w:sz w:val="21"/>
          <w:szCs w:val="21"/>
        </w:rPr>
        <w:t xml:space="preserve">Erik Snowberg &amp; Justin Wolfers (2010). Explaining the Favorite-Longshot Bias: Is it Risk-Love or Misperceptions?. </w:t>
      </w:r>
      <w:r>
        <w:rPr>
          <w:i/>
          <w:iCs/>
          <w:sz w:val="21"/>
          <w:szCs w:val="21"/>
        </w:rPr>
        <w:t xml:space="preserve">Journal of Political Economy, 118(4), 723–746 (NBER WP 15923). </w:t>
      </w:r>
      <w:hyperlink w:history="1" r:id="rId3ttyjtangf8kqb2mbii8j">
        <w:r>
          <w:rPr>
            <w:rStyle w:val="Hyperlink"/>
            <w:sz w:val="21"/>
            <w:szCs w:val="21"/>
          </w:rPr>
          <w:t xml:space="preserve">https://www.nber.org/papers/w15923</w:t>
        </w:r>
      </w:hyperlink>
    </w:p>
    <w:p>
      <w:pPr>
        <w:spacing w:after="120"/>
      </w:pPr>
      <w:r>
        <w:rPr>
          <w:b/>
          <w:bCs/>
          <w:color w:val="1F3864"/>
          <w:sz w:val="21"/>
          <w:szCs w:val="21"/>
        </w:rPr>
        <w:t xml:space="preserve">[9] </w:t>
      </w:r>
      <w:r>
        <w:rPr>
          <w:sz w:val="21"/>
          <w:szCs w:val="21"/>
        </w:rPr>
        <w:t xml:space="preserve">Jonas Gebele et al. (2026). Semantic Non-Fungibility and Violations of the Law of One Price in Prediction Markets. </w:t>
      </w:r>
      <w:r>
        <w:rPr>
          <w:i/>
          <w:iCs/>
          <w:sz w:val="21"/>
          <w:szCs w:val="21"/>
        </w:rPr>
        <w:t xml:space="preserve">arXiv:2601.01706. </w:t>
      </w:r>
      <w:hyperlink w:history="1" r:id="rIdtyvv4dho2bey25gy4bvg8">
        <w:r>
          <w:rPr>
            <w:rStyle w:val="Hyperlink"/>
            <w:sz w:val="21"/>
            <w:szCs w:val="21"/>
          </w:rPr>
          <w:t xml:space="preserve">https://arxiv.org/abs/2601.01706</w:t>
        </w:r>
      </w:hyperlink>
    </w:p>
    <w:p>
      <w:pPr>
        <w:spacing w:after="120"/>
      </w:pPr>
      <w:r>
        <w:rPr>
          <w:b/>
          <w:bCs/>
          <w:color w:val="1F3864"/>
          <w:sz w:val="21"/>
          <w:szCs w:val="21"/>
        </w:rPr>
        <w:t xml:space="preserve">[10] </w:t>
      </w:r>
      <w:r>
        <w:rPr>
          <w:sz w:val="21"/>
          <w:szCs w:val="21"/>
        </w:rPr>
        <w:t xml:space="preserve">Giovanni Angelini &amp; Luca De Angelis (2026). When Do Markets Fully Process Public Information? Evidence from Real-Time Prediction Markets. </w:t>
      </w:r>
      <w:r>
        <w:rPr>
          <w:i/>
          <w:iCs/>
          <w:sz w:val="21"/>
          <w:szCs w:val="21"/>
        </w:rPr>
        <w:t xml:space="preserve">arXiv:2606.07811. </w:t>
      </w:r>
      <w:hyperlink w:history="1" r:id="rIdqclvbyf0l9rcqxnm1le-j">
        <w:r>
          <w:rPr>
            <w:rStyle w:val="Hyperlink"/>
            <w:sz w:val="21"/>
            <w:szCs w:val="21"/>
          </w:rPr>
          <w:t xml:space="preserve">https://arxiv.org/abs/2606.07811</w:t>
        </w:r>
      </w:hyperlink>
    </w:p>
    <w:p>
      <w:pPr>
        <w:spacing w:after="120"/>
      </w:pPr>
      <w:r>
        <w:rPr>
          <w:b/>
          <w:bCs/>
          <w:color w:val="1F3864"/>
          <w:sz w:val="21"/>
          <w:szCs w:val="21"/>
        </w:rPr>
        <w:t xml:space="preserve">[11] </w:t>
      </w:r>
      <w:r>
        <w:rPr>
          <w:sz w:val="21"/>
          <w:szCs w:val="21"/>
        </w:rPr>
        <w:t xml:space="preserve">Constantin Bürgi, Wanying Deng &amp; Karl Whelan (2025). Makers and Takers: The Economics of the Kalshi Prediction Market. </w:t>
      </w:r>
      <w:r>
        <w:rPr>
          <w:i/>
          <w:iCs/>
          <w:sz w:val="21"/>
          <w:szCs w:val="21"/>
        </w:rPr>
        <w:t xml:space="preserve">CESifo Working Paper No. 12122 / SSRN 5502658. </w:t>
      </w:r>
      <w:hyperlink w:history="1" r:id="rIdfeewk6tkwi8vykzv_kegv">
        <w:r>
          <w:rPr>
            <w:rStyle w:val="Hyperlink"/>
            <w:sz w:val="21"/>
            <w:szCs w:val="21"/>
          </w:rPr>
          <w:t xml:space="preserve">https://papers.ssrn.com/sol3/papers.cfm?abstract_id=5502658</w:t>
        </w:r>
      </w:hyperlink>
    </w:p>
    <w:p>
      <w:pPr>
        <w:spacing w:after="120"/>
      </w:pPr>
      <w:r>
        <w:rPr>
          <w:b/>
          <w:bCs/>
          <w:color w:val="1F3864"/>
          <w:sz w:val="21"/>
          <w:szCs w:val="21"/>
        </w:rPr>
        <w:t xml:space="preserve">[12] </w:t>
      </w:r>
      <w:r>
        <w:rPr>
          <w:sz w:val="21"/>
          <w:szCs w:val="21"/>
        </w:rPr>
        <w:t xml:space="preserve">Hunter Ng, Lin Peng, Yubo Tao &amp; Dexin Zhou (2025). Price Discovery and Trading in Modern Prediction Markets. </w:t>
      </w:r>
      <w:r>
        <w:rPr>
          <w:i/>
          <w:iCs/>
          <w:sz w:val="21"/>
          <w:szCs w:val="21"/>
        </w:rPr>
        <w:t xml:space="preserve">SSRN 5331995. </w:t>
      </w:r>
      <w:hyperlink w:history="1" r:id="rId3icqijdwexns6xe11osf5">
        <w:r>
          <w:rPr>
            <w:rStyle w:val="Hyperlink"/>
            <w:sz w:val="21"/>
            <w:szCs w:val="21"/>
          </w:rPr>
          <w:t xml:space="preserve">https://papers.ssrn.com/sol3/papers.cfm?abstract_id=5331995</w:t>
        </w:r>
      </w:hyperlink>
    </w:p>
    <w:p>
      <w:pPr>
        <w:spacing w:after="120"/>
      </w:pPr>
      <w:r>
        <w:rPr>
          <w:b/>
          <w:bCs/>
          <w:color w:val="1F3864"/>
          <w:sz w:val="21"/>
          <w:szCs w:val="21"/>
        </w:rPr>
        <w:t xml:space="preserve">[13] </w:t>
      </w:r>
      <w:r>
        <w:rPr>
          <w:sz w:val="21"/>
          <w:szCs w:val="21"/>
        </w:rPr>
        <w:t xml:space="preserve">(arXiv authors) (2026). Do Prediction Markets Forecast Cryptocurrency Volatility? Evidence from Kalshi Macro Contracts. </w:t>
      </w:r>
      <w:r>
        <w:rPr>
          <w:i/>
          <w:iCs/>
          <w:sz w:val="21"/>
          <w:szCs w:val="21"/>
        </w:rPr>
        <w:t xml:space="preserve">arXiv:2604.01431. </w:t>
      </w:r>
      <w:hyperlink w:history="1" r:id="rIdtuigd11twkv-lkcrwytmn">
        <w:r>
          <w:rPr>
            <w:rStyle w:val="Hyperlink"/>
            <w:sz w:val="21"/>
            <w:szCs w:val="21"/>
          </w:rPr>
          <w:t xml:space="preserve">https://arxiv.org/abs/2604.01431</w:t>
        </w:r>
      </w:hyperlink>
    </w:p>
    <w:p>
      <w:pPr>
        <w:spacing w:after="120"/>
      </w:pPr>
      <w:r>
        <w:rPr>
          <w:b/>
          <w:bCs/>
          <w:color w:val="1F3864"/>
          <w:sz w:val="21"/>
          <w:szCs w:val="21"/>
        </w:rPr>
        <w:t xml:space="preserve">[14] </w:t>
      </w:r>
      <w:r>
        <w:rPr>
          <w:sz w:val="21"/>
          <w:szCs w:val="21"/>
        </w:rPr>
        <w:t xml:space="preserve">(arXiv authors) (2026). The Anatomy of a Blockchain Prediction Market: Polymarket in the 2024 US Presidential Election. </w:t>
      </w:r>
      <w:r>
        <w:rPr>
          <w:i/>
          <w:iCs/>
          <w:sz w:val="21"/>
          <w:szCs w:val="21"/>
        </w:rPr>
        <w:t xml:space="preserve">arXiv:2603.03136. </w:t>
      </w:r>
      <w:hyperlink w:history="1" r:id="rIdqmxzkzk6am91w7mtjtf1a">
        <w:r>
          <w:rPr>
            <w:rStyle w:val="Hyperlink"/>
            <w:sz w:val="21"/>
            <w:szCs w:val="21"/>
          </w:rPr>
          <w:t xml:space="preserve">https://arxiv.org/abs/2603.03136</w:t>
        </w:r>
      </w:hyperlink>
    </w:p>
    <w:p>
      <w:pPr>
        <w:spacing w:after="120"/>
      </w:pPr>
      <w:r>
        <w:rPr>
          <w:b/>
          <w:bCs/>
          <w:color w:val="1F3864"/>
          <w:sz w:val="21"/>
          <w:szCs w:val="21"/>
        </w:rPr>
        <w:t xml:space="preserve">[15] </w:t>
      </w:r>
      <w:r>
        <w:rPr>
          <w:sz w:val="21"/>
          <w:szCs w:val="21"/>
        </w:rPr>
        <w:t xml:space="preserve">(J. of Prediction Markets) (2020). Arbitrage in Political Prediction Markets. </w:t>
      </w:r>
      <w:r>
        <w:rPr>
          <w:i/>
          <w:iCs/>
          <w:sz w:val="21"/>
          <w:szCs w:val="21"/>
        </w:rPr>
        <w:t xml:space="preserve">The Journal of Prediction Markets, 14(3). </w:t>
      </w:r>
      <w:hyperlink w:history="1" r:id="rId2ioiv-m9vndwwikld5qqt">
        <w:r>
          <w:rPr>
            <w:rStyle w:val="Hyperlink"/>
            <w:sz w:val="21"/>
            <w:szCs w:val="21"/>
          </w:rPr>
          <w:t xml:space="preserve">https://www.ubplj.org/index.php/jpm/article/view/1796</w:t>
        </w:r>
      </w:hyperlink>
    </w:p>
    <w:p>
      <w:pPr>
        <w:spacing w:after="120"/>
      </w:pPr>
      <w:r>
        <w:rPr>
          <w:b/>
          <w:bCs/>
          <w:color w:val="1F3864"/>
          <w:sz w:val="21"/>
          <w:szCs w:val="21"/>
        </w:rPr>
        <w:t xml:space="preserve">[16] </w:t>
      </w:r>
      <w:r>
        <w:rPr>
          <w:sz w:val="21"/>
          <w:szCs w:val="21"/>
        </w:rPr>
        <w:t xml:space="preserve">(AIA Forecaster team) (2025). AIA Forecaster: Technical Report (agentic LLM forecasting at superforecaster level). </w:t>
      </w:r>
      <w:r>
        <w:rPr>
          <w:i/>
          <w:iCs/>
          <w:sz w:val="21"/>
          <w:szCs w:val="21"/>
        </w:rPr>
        <w:t xml:space="preserve">arXiv:2511.07678. </w:t>
      </w:r>
      <w:hyperlink w:history="1" r:id="rIdhtbezzk0jjjv-gl0qvdmf">
        <w:r>
          <w:rPr>
            <w:rStyle w:val="Hyperlink"/>
            <w:sz w:val="21"/>
            <w:szCs w:val="21"/>
          </w:rPr>
          <w:t xml:space="preserve">https://arxiv.org/abs/2511.07678</w:t>
        </w:r>
      </w:hyperlink>
    </w:p>
    <w:p>
      <w:pPr>
        <w:spacing w:before="200"/>
      </w:pPr>
      <w:r>
        <w:rPr>
          <w:i/>
          <w:iCs/>
          <w:color w:val="595959"/>
          <w:sz w:val="19"/>
          <w:szCs w:val="19"/>
        </w:rPr>
        <w:t xml:space="preserve">Note: citation counts cited throughout are approximate and current as of mid-2026; the 2025–2026 Kalshi/Polymarket papers are recent working papers and preprints whose findings, while highly relevant, have not completed peer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a6kbyls5dqbckbz2qvkl" Type="http://schemas.openxmlformats.org/officeDocument/2006/relationships/hyperlink" Target="https://www.aeaweb.org/articles?id=10.1257/0895330041371321" TargetMode="External"/><Relationship Id="rIdlfmwyr6tx7heulf5vonsi" Type="http://schemas.openxmlformats.org/officeDocument/2006/relationships/hyperlink" Target="https://www.nber.org/papers/w12200" TargetMode="External"/><Relationship Id="rIdg3rwmjhsgmun8hxk6vg4k" Type="http://schemas.openxmlformats.org/officeDocument/2006/relationships/hyperlink" Target="https://www.sciencedirect.com/science/article/abs/pii/S016517650600022X" TargetMode="External"/><Relationship Id="rIdwlcbqub8n-e0aqyedgyzh" Type="http://schemas.openxmlformats.org/officeDocument/2006/relationships/hyperlink" Target="https://mason.gmu.edu/~rhanson/mktscore.pdf" TargetMode="External"/><Relationship Id="rId3uzmsdtdgyrpbkmvvsgdt" Type="http://schemas.openxmlformats.org/officeDocument/2006/relationships/hyperlink" Target="https://www.sciencedirect.com/science/article/abs/pii/S0169207008000320" TargetMode="External"/><Relationship Id="rIdbadhv4scgje2kaw3at77d" Type="http://schemas.openxmlformats.org/officeDocument/2006/relationships/hyperlink" Target="https://academic.oup.com/ej/article-abstract/123/568/491/5079498" TargetMode="External"/><Relationship Id="rIdpfedavabrr843sguyrle-" Type="http://schemas.openxmlformats.org/officeDocument/2006/relationships/hyperlink" Target="https://arxiv.org/abs/2512.16030" TargetMode="External"/><Relationship Id="rIdclhc-4syzttukf3sxazdy" Type="http://schemas.openxmlformats.org/officeDocument/2006/relationships/hyperlink" Target="https://www.nber.org/papers/w15923" TargetMode="External"/><Relationship Id="rIdn82kruir0q472tm6obllw" Type="http://schemas.openxmlformats.org/officeDocument/2006/relationships/hyperlink" Target="https://arxiv.org/abs/2601.01706" TargetMode="External"/><Relationship Id="rIdzxhrqkddkrzcgkythnfr8" Type="http://schemas.openxmlformats.org/officeDocument/2006/relationships/hyperlink" Target="https://arxiv.org/abs/2606.07811" TargetMode="External"/><Relationship Id="rIdw2tr_ywxjpumdtb8s7s35" Type="http://schemas.openxmlformats.org/officeDocument/2006/relationships/hyperlink" Target="https://papers.ssrn.com/sol3/papers.cfm?abstract_id=5502658" TargetMode="External"/><Relationship Id="rIdnxlkzjrccavt4vwvm4xe5" Type="http://schemas.openxmlformats.org/officeDocument/2006/relationships/hyperlink" Target="https://papers.ssrn.com/sol3/papers.cfm?abstract_id=5331995" TargetMode="External"/><Relationship Id="rIdwleutrnnfggjwvh4geuvx" Type="http://schemas.openxmlformats.org/officeDocument/2006/relationships/hyperlink" Target="https://arxiv.org/abs/2604.01431" TargetMode="External"/><Relationship Id="rIddohmdudymwtvjmh9tw3in" Type="http://schemas.openxmlformats.org/officeDocument/2006/relationships/hyperlink" Target="https://arxiv.org/abs/2603.03136" TargetMode="External"/><Relationship Id="rIdxq3o_v_mqgbb71_mlvnqj" Type="http://schemas.openxmlformats.org/officeDocument/2006/relationships/hyperlink" Target="https://www.ubplj.org/index.php/jpm/article/view/1796" TargetMode="External"/><Relationship Id="rId3wy_7puv25aoyvadj6j6q" Type="http://schemas.openxmlformats.org/officeDocument/2006/relationships/hyperlink" Target="https://arxiv.org/abs/2511.07678" TargetMode="External"/><Relationship Id="rId_qzkwdfjevaw6njwcs2fl" Type="http://schemas.openxmlformats.org/officeDocument/2006/relationships/hyperlink" Target="https://www.aeaweb.org/articles?id=10.1257/0895330041371321" TargetMode="External"/><Relationship Id="rIda80omvx7ftnmo6wg229so" Type="http://schemas.openxmlformats.org/officeDocument/2006/relationships/hyperlink" Target="https://www.nber.org/papers/w12200" TargetMode="External"/><Relationship Id="rIdguhw2lbrelscujcudxxri" Type="http://schemas.openxmlformats.org/officeDocument/2006/relationships/hyperlink" Target="https://www.sciencedirect.com/science/article/abs/pii/S016517650600022X" TargetMode="External"/><Relationship Id="rId5nud-ewr7m45077v5lw16" Type="http://schemas.openxmlformats.org/officeDocument/2006/relationships/hyperlink" Target="https://mason.gmu.edu/~rhanson/mktscore.pdf" TargetMode="External"/><Relationship Id="rIdxh1slvp3hp_yh7i1ozl4m" Type="http://schemas.openxmlformats.org/officeDocument/2006/relationships/hyperlink" Target="https://www.sciencedirect.com/science/article/abs/pii/S0169207008000320" TargetMode="External"/><Relationship Id="rIdvpcw2xfafb7ttarqdqtxa" Type="http://schemas.openxmlformats.org/officeDocument/2006/relationships/hyperlink" Target="https://academic.oup.com/ej/article-abstract/123/568/491/5079498" TargetMode="External"/><Relationship Id="rIdswtmo47jfirtpt4s-kszk" Type="http://schemas.openxmlformats.org/officeDocument/2006/relationships/hyperlink" Target="https://arxiv.org/abs/2512.16030" TargetMode="External"/><Relationship Id="rId3ttyjtangf8kqb2mbii8j" Type="http://schemas.openxmlformats.org/officeDocument/2006/relationships/hyperlink" Target="https://www.nber.org/papers/w15923" TargetMode="External"/><Relationship Id="rIdtyvv4dho2bey25gy4bvg8" Type="http://schemas.openxmlformats.org/officeDocument/2006/relationships/hyperlink" Target="https://arxiv.org/abs/2601.01706" TargetMode="External"/><Relationship Id="rIdqclvbyf0l9rcqxnm1le-j" Type="http://schemas.openxmlformats.org/officeDocument/2006/relationships/hyperlink" Target="https://arxiv.org/abs/2606.07811" TargetMode="External"/><Relationship Id="rIdfeewk6tkwi8vykzv_kegv" Type="http://schemas.openxmlformats.org/officeDocument/2006/relationships/hyperlink" Target="https://papers.ssrn.com/sol3/papers.cfm?abstract_id=5502658" TargetMode="External"/><Relationship Id="rId3icqijdwexns6xe11osf5" Type="http://schemas.openxmlformats.org/officeDocument/2006/relationships/hyperlink" Target="https://papers.ssrn.com/sol3/papers.cfm?abstract_id=5331995" TargetMode="External"/><Relationship Id="rIdtuigd11twkv-lkcrwytmn" Type="http://schemas.openxmlformats.org/officeDocument/2006/relationships/hyperlink" Target="https://arxiv.org/abs/2604.01431" TargetMode="External"/><Relationship Id="rIdqmxzkzk6am91w7mtjtf1a" Type="http://schemas.openxmlformats.org/officeDocument/2006/relationships/hyperlink" Target="https://arxiv.org/abs/2603.03136" TargetMode="External"/><Relationship Id="rId2ioiv-m9vndwwikld5qqt" Type="http://schemas.openxmlformats.org/officeDocument/2006/relationships/hyperlink" Target="https://www.ubplj.org/index.php/jpm/article/view/1796" TargetMode="External"/><Relationship Id="rIdhtbezzk0jjjv-gl0qvdmf" Type="http://schemas.openxmlformats.org/officeDocument/2006/relationships/hyperlink" Target="https://arxiv.org/abs/2511.07678"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2026-07-08T19:41:06.597Z</dcterms:created>
  <dcterms:modified xsi:type="dcterms:W3CDTF">2026-07-08T19:41:06.597Z</dcterms:modified>
</cp:coreProperties>
</file>

<file path=docProps/custom.xml><?xml version="1.0" encoding="utf-8"?>
<Properties xmlns="http://schemas.openxmlformats.org/officeDocument/2006/custom-properties" xmlns:vt="http://schemas.openxmlformats.org/officeDocument/2006/docPropsVTypes"/>
</file>