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41"/>
        <w:gridCol w:w="1279"/>
        <w:gridCol w:w="2428"/>
        <w:gridCol w:w="2465"/>
        <w:gridCol w:w="2110"/>
        <w:gridCol w:w="383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Intervention (N₁=66)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 (N₂=69)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effect estimate (95% CI)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(IU/L)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(32)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 (34.9)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 (-6.33, 3.53)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(52.6)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(58)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(35.8)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(35.1)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(69.5)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(59.1)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(32.5)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(32.3)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 (50.5)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 (58.1)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(31.2)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(34.3)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(47.4)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(55.2)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(NA)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(0)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 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 (30.8)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 (63.3)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 (50.6)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(31.3)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 (32.6)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(53.9)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(52.9)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Lymphocytes (GI/L)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 (-0.423, 0.111)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(1.9)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(1.9)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(3.1)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(3.4)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 (GI/L)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 (-0.589, 1.28)</w:t>
            </w:r>
          </w:p>
        </w:tc>
      </w:tr>
      <w:tr>
        <w:trPr>
          <w:trHeight w:val="617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(11.5)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(12.5)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(6.8)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(11.5)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(7.1)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(13.2)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(6.7)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(12.5)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(7.2)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(13.1)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(6.7)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(6.2)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(11.5)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2023-12-15T15:10:54Z</dcterms:modified>
  <cp:category/>
</cp:coreProperties>
</file>