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41"/>
        <w:gridCol w:w="1279"/>
        <w:gridCol w:w="2428"/>
        <w:gridCol w:w="2465"/>
        <w:gridCol w:w="2110"/>
        <w:gridCol w:w="383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 (N₁=66)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(N₂=69)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effect estimate (95% CI)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(IU/L)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(32)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 (34.9)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 (-6.33, 3.53)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(58)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(69.5)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(59.1)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(32.5)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(32.3)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(50.5)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(58.1)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(31.2)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(34.3)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(55.2)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(0)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 (30.8)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(50.6)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(31.3)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 (32.6)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(53.9)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(52.9)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 (-0.423, 0.111)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 (-0.589, 1.28)</w:t>
            </w:r>
          </w:p>
        </w:tc>
      </w:tr>
      <w:tr>
        <w:trPr>
          <w:trHeight w:val="617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(11.5)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2023-12-15T18:28:24Z</dcterms:modified>
  <cp:category/>
</cp:coreProperties>
</file>