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41"/>
        <w:gridCol w:w="1279"/>
        <w:gridCol w:w="2428"/>
        <w:gridCol w:w="2465"/>
        <w:gridCol w:w="2110"/>
        <w:gridCol w:w="383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 (N₁=66)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 (N₂=69)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effect estimate (95% CI)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(IU/L)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(32)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 (34.9)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 (-6.33, 3.53)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(58)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(35.8)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(35.1)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(69.5)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(59.1)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(32.5)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(32.3)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 (50.5)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 (58.1)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(31.2)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(34.3)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(55.2)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(NA)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(0)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 (30.8)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(50.6)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(31.3)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 (32.6)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(53.9)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(52.9)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 (-0.423, 0.111)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(1.9)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(3.1)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 (-0.589, 1.28)</w:t>
            </w:r>
          </w:p>
        </w:tc>
      </w:tr>
      <w:tr>
        <w:trPr>
          <w:trHeight w:val="617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(12.5)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(6.8)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(13.2)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(6.7)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(13.1)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(6.7)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(6.2)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(11.5)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2023-12-15T17:29:52Z</dcterms:modified>
  <cp:category/>
</cp:coreProperties>
</file>