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</w:pPr>
      <w:r>
        <w:rPr>
          <w:rFonts w:ascii="Microsoft YaHei" w:hAnsi="Microsoft YaHei" w:eastAsia="Microsoft YaHei"/>
          <w:b/>
          <w:color w:val="0F766E"/>
          <w:sz w:val="19"/>
        </w:rPr>
        <w:t>行业分析</w:t>
      </w:r>
    </w:p>
    <w:p>
      <w:pPr>
        <w:pStyle w:val="Title"/>
        <w:spacing w:after="180"/>
      </w:pPr>
      <w:r>
        <w:rPr>
          <w:rFonts w:ascii="Microsoft YaHei" w:hAnsi="Microsoft YaHei" w:eastAsia="Microsoft YaHei"/>
          <w:b/>
          <w:color w:val="000000"/>
          <w:sz w:val="54"/>
        </w:rPr>
        <w:t>门诊预约与分诊协作的行业分析与实施边界</w:t>
      </w:r>
    </w:p>
    <w:p>
      <w:pPr>
        <w:spacing w:after="520"/>
      </w:pPr>
      <w:r>
        <w:rPr>
          <w:rFonts w:ascii="Microsoft YaHei" w:hAnsi="Microsoft YaHei" w:eastAsia="Microsoft YaHei"/>
          <w:b w:val="0"/>
          <w:color w:val="52606D"/>
          <w:sz w:val="28"/>
        </w:rPr>
        <w:t>从候诊效率、临床优先级、系统集成与 AI 治理四个维度判断可行路径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门诊预约与分诊协作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场景来源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FDE Discovery Lab 合成访谈与需求发现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文档日期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2026 年 10 月 23 日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适用范围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两个常规门诊的历史回放与小范围并行试点</w:t>
            </w:r>
          </w:p>
        </w:tc>
      </w:tr>
    </w:tbl>
    <w:p>
      <w:pPr>
        <w:spacing w:before="560" w:after="80"/>
      </w:pPr>
      <w:r>
        <w:rPr>
          <w:rFonts w:ascii="Microsoft YaHei" w:hAnsi="Microsoft YaHei" w:eastAsia="Microsoft YaHei"/>
          <w:b/>
          <w:color w:val="A85A00"/>
          <w:sz w:val="21"/>
        </w:rPr>
        <w:t>阅读提示</w:t>
      </w:r>
    </w:p>
    <w:p>
      <w:pPr>
        <w:spacing w:after="0"/>
      </w:pPr>
      <w:r>
        <w:rPr>
          <w:rFonts w:ascii="Microsoft YaHei" w:hAnsi="Microsoft YaHei" w:eastAsia="Microsoft YaHei"/>
          <w:b w:val="0"/>
          <w:color w:val="52606D"/>
          <w:sz w:val="19"/>
        </w:rPr>
        <w:t>本项目的业务数据来自实验环境的合成访谈，属于待验证需求假设，不替代医院日志、现场观察、制度文件与组织审批。公开行业资料仅用于判断方向，不用于证明本项目指标已经实现。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本项目的瓶颈不在预约入口，而在患者到院后的等待口径、队列次序、排班同步与交接责任。实验室场景给出了三个需要同时处理的信号：候诊中位数 68 分钟而目标为 40 分钟，爽约率 19% 而目标为 10%，每日导诊承担约 180 次排队咨询。与此同时，迟到患者、现场加号、急诊打断与个人便签式交接共同放大了现场解释压力。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行业上的低风险切入点不是让 AI 接管分诊或队列，而是先建立统一的业务状态与时间轴，再使用 AI 做异常检测、解释草稿、字段校验与证据检索。分诊结论、急症升级、队列改序、排班变更与规则发布必须保留明确的人工确认。这样既能把解释与核对工作从一线人员身上分担出来，也能避免把模型的不确定性转化成不可逆的临床或服务风险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0F766E"/>
          <w:sz w:val="19"/>
        </w:rPr>
        <w:t>四项判断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01  </w:t>
      </w:r>
      <w:r>
        <w:rPr>
          <w:rFonts w:ascii="Microsoft YaHei" w:hAnsi="Microsoft YaHei" w:eastAsia="Microsoft YaHei"/>
          <w:b w:val="0"/>
          <w:color w:val="17212B"/>
          <w:sz w:val="21"/>
        </w:rPr>
        <w:t>先统一等待口径。患者、叫号系统与运营的等待起点不同，不先固定统计分母，无法验证 20% 的改善目标。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02  </w:t>
      </w:r>
      <w:r>
        <w:rPr>
          <w:rFonts w:ascii="Microsoft YaHei" w:hAnsi="Microsoft YaHei" w:eastAsia="Microsoft YaHei"/>
          <w:b w:val="0"/>
          <w:color w:val="17212B"/>
          <w:sz w:val="21"/>
        </w:rPr>
        <w:t>首个试点应选解释辅助。该环节高频、可回放、失败可撤回，并且不直接生成分诊结论。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03  </w:t>
      </w:r>
      <w:r>
        <w:rPr>
          <w:rFonts w:ascii="Microsoft YaHei" w:hAnsi="Microsoft YaHei" w:eastAsia="Microsoft YaHei"/>
          <w:b w:val="0"/>
          <w:color w:val="17212B"/>
          <w:sz w:val="21"/>
        </w:rPr>
        <w:t>排班与通知一致性优先做强制校验。医生处理急诊后若排班未同步，错误通知的影响不可逆。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04  </w:t>
      </w:r>
      <w:r>
        <w:rPr>
          <w:rFonts w:ascii="Microsoft YaHei" w:hAnsi="Microsoft YaHei" w:eastAsia="Microsoft YaHei"/>
          <w:b w:val="0"/>
          <w:color w:val="17212B"/>
          <w:sz w:val="21"/>
        </w:rPr>
        <w:t>AI 的职责应是辅助确认，不是替代责任。系统输出建议与证据，人工确认后才改变业务状态。</w:t>
      </w:r>
    </w:p>
    <w:p>
      <w:pPr>
        <w:pStyle w:val="Heading1"/>
      </w:pPr>
      <w:r>
        <w:t>范围、证据与判断方法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分析依据分为三层。第一层是实验室的 36 条角色事实与六岗访谈，用于形成问题假设；第二层是公开政策与行业通用治理原则，用于判断边界；第三层是本项目的接口、日志和现场核验，用于把假设转成可验收需求。当前只具备前两层中的场景事实与方向性依据，第三层仍需在试点前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3024"/>
        <w:gridCol w:w="2520"/>
      </w:tblGrid>
      <w:tr>
        <w:trPr>
          <w:tblHeader w:val="true"/>
          <w:cantSplit/>
        </w:trPr>
        <w:tc>
          <w:tcPr>
            <w:tcW w:type="dxa" w:w="151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证据层级</w:t>
            </w:r>
          </w:p>
        </w:tc>
        <w:tc>
          <w:tcPr>
            <w:tcW w:type="dxa" w:w="237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当前材料</w:t>
            </w:r>
          </w:p>
        </w:tc>
        <w:tc>
          <w:tcPr>
            <w:tcW w:type="dxa" w:w="302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可以支持的判断</w:t>
            </w:r>
          </w:p>
        </w:tc>
        <w:tc>
          <w:tcPr>
            <w:tcW w:type="dxa" w:w="252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尚不能支持的结论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业务证据</w:t>
            </w:r>
          </w:p>
        </w:tc>
        <w:tc>
          <w:tcPr>
            <w:tcW w:type="dxa" w:w="237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六岗访谈、36 条事实</w:t>
            </w:r>
          </w:p>
        </w:tc>
        <w:tc>
          <w:tcPr>
            <w:tcW w:type="dxa" w:w="302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断点集中在登记后队列与交接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各节点真实耗时和异常频次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技术证据</w:t>
            </w:r>
          </w:p>
        </w:tc>
        <w:tc>
          <w:tcPr>
            <w:tcW w:type="dxa" w:w="237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预约、HIS、叫号系统与只读接口边界</w:t>
            </w:r>
          </w:p>
        </w:tc>
        <w:tc>
          <w:tcPr>
            <w:tcW w:type="dxa" w:w="302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系统间缺少统一业务状态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各接口字段、延迟与稳定性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治理证据</w:t>
            </w:r>
          </w:p>
        </w:tc>
        <w:tc>
          <w:tcPr>
            <w:tcW w:type="dxa" w:w="237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质控否决权、急症人工升级、审计要求</w:t>
            </w:r>
          </w:p>
        </w:tc>
        <w:tc>
          <w:tcPr>
            <w:tcW w:type="dxa" w:w="302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AI 不得自动分诊或改序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组织最终授权与留存期限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行业证据</w:t>
            </w:r>
          </w:p>
        </w:tc>
        <w:tc>
          <w:tcPr>
            <w:tcW w:type="dxa" w:w="237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公开政策、质量管理和数据治理原则</w:t>
            </w:r>
          </w:p>
        </w:tc>
        <w:tc>
          <w:tcPr>
            <w:tcW w:type="dxa" w:w="302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应以临床优先、人工负责、全程留痕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本院具体执行口径和投资回报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因此，本报告中的“行业最佳实践”是用于约束方案的参考模式，不是对本院现状或供应商能力的背书。所有量化收益都要在固定分母、固定周期和固定排除规则下，通过历史回放和并行试点重新测量。</w:t>
      </w:r>
    </w:p>
    <w:p>
      <w:pPr>
        <w:pStyle w:val="Heading1"/>
      </w:pPr>
      <w:r>
        <w:t>行业运行背景</w:t>
      </w:r>
    </w:p>
    <w:p>
      <w:pPr>
        <w:pStyle w:val="Heading2"/>
      </w:pPr>
      <w:r>
        <w:t>门诊效率已经从单点预约转向全程协同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门诊服务通常同时受到号源供给、患者到院行为、诊区容量、检查检验衔接和医生临时任务的影响。只优化预约入口，容易把矛盾推后到签到、分诊和候诊。行业改进方向因此从“有没有号”转向“患者处于什么状态、下一个责任动作是什么、信息是否在同一时间轴上”。</w:t>
      </w:r>
    </w:p>
    <w:p>
      <w:pPr>
        <w:pStyle w:val="Heading2"/>
      </w:pPr>
      <w:r>
        <w:t>高峰期服务压力集中在解释与例外处理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患者最常追问的是还要等多久、为什么别人先看、迟到了是否还能进、加号是否有效。导诊人员需要在缺少统一队列状态的条件下重复解释，并在迟到、加号、漏叫和医生临时停诊之间做口头协调。对高频但可撤回的解释工作，AI 草稿可以降低重复劳动；对会改变队列顺序或临床优先级的动作，必须回到明确责任人。</w:t>
      </w:r>
    </w:p>
    <w:p>
      <w:pPr>
        <w:pStyle w:val="Heading2"/>
      </w:pPr>
      <w:r>
        <w:t>临床优先级不能被运营效率覆盖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门诊预约与分诊的目标不是单纯压缩等待，而是在不延误急症和必要诊疗的前提下降低无效等待。紧急症状需要按院方流程立即升级，预约顺序不能压过临床优先级。这也是本项目将急症提示设为全程人工闸门、且要求每一条提示都进入人工复核的原因。</w:t>
      </w:r>
    </w:p>
    <w:p>
      <w:pPr>
        <w:pStyle w:val="Heading2"/>
      </w:pPr>
      <w:r>
        <w:t>系统集成决定 AI 是否有可靠事实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预约平台、HIS 与叫号系统各自维护账号、事件和状态时，模型看到的只是局部事实。没有统一业务编号、事件时间和版本字段，解释内容就会变成语言生成而不是业务说明。行业可行路径是先把关键状态映射到只读事件层，再让 AI 基于可追溯事实生成草稿。</w:t>
      </w:r>
    </w:p>
    <w:p>
      <w:pPr>
        <w:pStyle w:val="Heading1"/>
      </w:pPr>
      <w:r>
        <w:t>政策与治理环境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公开政策反复强调改善就医感受、提升门诊服务质量、保障医疗安全与保护个人信息。对本项目而言，政策要求不能只转化为效率指标，还必须同时落到临床优先、权限最小化、必要信息使用、过程留痕和人工负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3672"/>
      </w:tblGrid>
      <w:tr>
        <w:trPr>
          <w:tblHeader w:val="true"/>
          <w:cantSplit/>
        </w:trPr>
        <w:tc>
          <w:tcPr>
            <w:tcW w:type="dxa" w:w="194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治理主题</w:t>
            </w:r>
          </w:p>
        </w:tc>
        <w:tc>
          <w:tcPr>
            <w:tcW w:type="dxa" w:w="367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对本项目的直接含义</w:t>
            </w:r>
          </w:p>
        </w:tc>
        <w:tc>
          <w:tcPr>
            <w:tcW w:type="dxa" w:w="367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设计响应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门诊质量与安全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预约、分诊、候诊和交接要有清晰责任与可追溯记录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统一业务编号、版本化交接、签核留痕</w:t>
            </w:r>
          </w:p>
        </w:tc>
      </w:tr>
      <w:tr>
        <w:trPr>
          <w:cantSplit/>
        </w:trPr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改善就医感受</w:t>
            </w:r>
          </w:p>
        </w:tc>
        <w:tc>
          <w:tcPr>
            <w:tcW w:type="dxa" w:w="367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减少无效等待，提升等待信息和流程解释的一致性与透明度</w:t>
            </w:r>
          </w:p>
        </w:tc>
        <w:tc>
          <w:tcPr>
            <w:tcW w:type="dxa" w:w="367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解释草稿、刷新时间戳、异常状态可见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急症与临床优先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不能以预约顺序覆盖急诊或紧急症状的临床判断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红线识别后立即转人工并按院方流程升级</w:t>
            </w:r>
          </w:p>
        </w:tc>
      </w:tr>
      <w:tr>
        <w:trPr>
          <w:cantSplit/>
        </w:trPr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个人信息与权限</w:t>
            </w:r>
          </w:p>
        </w:tc>
        <w:tc>
          <w:tcPr>
            <w:tcW w:type="dxa" w:w="367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仅使用必要信息，按岗位授权，避免无关个人数据扩散</w:t>
            </w:r>
          </w:p>
        </w:tc>
        <w:tc>
          <w:tcPr>
            <w:tcW w:type="dxa" w:w="367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最小字段、角色权限、脱敏展示、访问审计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AI 辅助边界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自动建议不得替代医生诊断、医嘱和专业签核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只读接口、人工确认、错误不得覆盖原记录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治理上还应区分“模型输出”和“业务记录”。模型生成的是待审草稿，业务记录则来自经授权人员确认后的状态变更；两者必须通过版本、签核人和改动前后值关联。这样既能复盘错误，也能避免删除后无法重建责任链。</w:t>
      </w:r>
    </w:p>
    <w:p>
      <w:pPr>
        <w:pStyle w:val="Heading1"/>
      </w:pPr>
      <w:r>
        <w:t>技术格局与可落地能力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2520"/>
        <w:gridCol w:w="2736"/>
        <w:gridCol w:w="2448"/>
      </w:tblGrid>
      <w:tr>
        <w:trPr>
          <w:tblHeader w:val="true"/>
          <w:cantSplit/>
        </w:trPr>
        <w:tc>
          <w:tcPr>
            <w:tcW w:type="dxa" w:w="1699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能力层</w:t>
            </w:r>
          </w:p>
        </w:tc>
        <w:tc>
          <w:tcPr>
            <w:tcW w:type="dxa" w:w="252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行业常见做法</w:t>
            </w:r>
          </w:p>
        </w:tc>
        <w:tc>
          <w:tcPr>
            <w:tcW w:type="dxa" w:w="273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本项目重点</w:t>
            </w:r>
          </w:p>
        </w:tc>
        <w:tc>
          <w:tcPr>
            <w:tcW w:type="dxa" w:w="244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不能越过的边界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业务系统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预约、HIS、叫号系统各自处理主业务</w:t>
            </w:r>
          </w:p>
        </w:tc>
        <w:tc>
          <w:tcPr>
            <w:tcW w:type="dxa" w:w="27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建立只读状态映射和统一业务编号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不写回诊断、医嘱和排班</w:t>
            </w:r>
          </w:p>
        </w:tc>
      </w:tr>
      <w:tr>
        <w:trPr>
          <w:cantSplit/>
        </w:trPr>
        <w:tc>
          <w:tcPr>
            <w:tcW w:type="dxa" w:w="1699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事件时间轴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以签到、叫号、接诊等事件重建状态</w:t>
            </w:r>
          </w:p>
        </w:tc>
        <w:tc>
          <w:tcPr>
            <w:tcW w:type="dxa" w:w="27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记录来源、时间、版本和更新时间</w:t>
            </w:r>
          </w:p>
        </w:tc>
        <w:tc>
          <w:tcPr>
            <w:tcW w:type="dxa" w:w="244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不以缺失字段推断真实状态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规则与检索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规则校验结合知识检索生成依据</w:t>
            </w:r>
          </w:p>
        </w:tc>
        <w:tc>
          <w:tcPr>
            <w:tcW w:type="dxa" w:w="27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解释等待、检测异常、检查字段完整性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规则冲突交人工，不自动选宽口径</w:t>
            </w:r>
          </w:p>
        </w:tc>
      </w:tr>
      <w:tr>
        <w:trPr>
          <w:cantSplit/>
        </w:trPr>
        <w:tc>
          <w:tcPr>
            <w:tcW w:type="dxa" w:w="1699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生成式辅助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生成话术、摘要和待办草稿</w:t>
            </w:r>
          </w:p>
        </w:tc>
        <w:tc>
          <w:tcPr>
            <w:tcW w:type="dxa" w:w="27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辅助导诊解释和交接摘要</w:t>
            </w:r>
          </w:p>
        </w:tc>
        <w:tc>
          <w:tcPr>
            <w:tcW w:type="dxa" w:w="244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不自动分诊、自动改序或自动发布</w:t>
            </w:r>
          </w:p>
        </w:tc>
      </w:tr>
      <w:tr>
        <w:trPr>
          <w:cantSplit/>
        </w:trPr>
        <w:tc>
          <w:tcPr>
            <w:tcW w:type="dxa" w:w="169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治理与审计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身份、权限、日志、版本、人工签核</w:t>
            </w:r>
          </w:p>
        </w:tc>
        <w:tc>
          <w:tcPr>
            <w:tcW w:type="dxa" w:w="27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重建单次处理与反馈链路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不记录口令和不必要个人信息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技术选择应优先复用现有系统与只读接口。若为了 AI 场景复制一套主数据或建立独立写库，会制造新的口径冲突。合理的系统形态是一个轻量协作层，汇聚授权状态、组织事件、展示建议、记录人工确认，并将结果留在审计链中。</w:t>
      </w:r>
    </w:p>
    <w:p>
      <w:pPr>
        <w:pStyle w:val="Heading1"/>
      </w:pPr>
      <w:r>
        <w:t>痛点到行业含义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736"/>
        <w:gridCol w:w="2664"/>
        <w:gridCol w:w="1800"/>
      </w:tblGrid>
      <w:tr>
        <w:trPr>
          <w:tblHeader w:val="true"/>
          <w:cantSplit/>
        </w:trPr>
        <w:tc>
          <w:tcPr>
            <w:tcW w:type="dxa" w:w="223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现状痛点</w:t>
            </w:r>
          </w:p>
        </w:tc>
        <w:tc>
          <w:tcPr>
            <w:tcW w:type="dxa" w:w="273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行业含义</w:t>
            </w:r>
          </w:p>
        </w:tc>
        <w:tc>
          <w:tcPr>
            <w:tcW w:type="dxa" w:w="266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优先动作</w:t>
            </w:r>
          </w:p>
        </w:tc>
        <w:tc>
          <w:tcPr>
            <w:tcW w:type="dxa" w:w="180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建议指标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三套等待起点</w:t>
            </w:r>
          </w:p>
        </w:tc>
        <w:tc>
          <w:tcPr>
            <w:tcW w:type="dxa" w:w="27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缺少统一可比较的服务状态</w:t>
            </w:r>
          </w:p>
        </w:tc>
        <w:tc>
          <w:tcPr>
            <w:tcW w:type="dxa" w:w="266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固定等待定义、分母和排除规则</w:t>
            </w:r>
          </w:p>
        </w:tc>
        <w:tc>
          <w:tcPr>
            <w:tcW w:type="dxa" w:w="180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候诊中位数、口径一致率</w:t>
            </w:r>
          </w:p>
        </w:tc>
      </w:tr>
      <w:tr>
        <w:trPr>
          <w:cantSplit/>
        </w:trPr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迟到与加号混队</w:t>
            </w:r>
          </w:p>
        </w:tc>
        <w:tc>
          <w:tcPr>
            <w:tcW w:type="dxa" w:w="27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例外规则未结构化，现场依赖口头协调</w:t>
            </w:r>
          </w:p>
        </w:tc>
        <w:tc>
          <w:tcPr>
            <w:tcW w:type="dxa" w:w="266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建立异常状态、人工确认与原因编码</w:t>
            </w:r>
          </w:p>
        </w:tc>
        <w:tc>
          <w:tcPr>
            <w:tcW w:type="dxa" w:w="180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异常关闭时长、重复咨询变化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排班未同步</w:t>
            </w:r>
          </w:p>
        </w:tc>
        <w:tc>
          <w:tcPr>
            <w:tcW w:type="dxa" w:w="27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主业务事件与通知事件脱节</w:t>
            </w:r>
          </w:p>
        </w:tc>
        <w:tc>
          <w:tcPr>
            <w:tcW w:type="dxa" w:w="266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检测版本差异，暂停建议并转人工</w:t>
            </w:r>
          </w:p>
        </w:tc>
        <w:tc>
          <w:tcPr>
            <w:tcW w:type="dxa" w:w="180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不一致发现率、人工复核耗时</w:t>
            </w:r>
          </w:p>
        </w:tc>
      </w:tr>
      <w:tr>
        <w:trPr>
          <w:cantSplit/>
        </w:trPr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叫号遗漏或重复签到</w:t>
            </w:r>
          </w:p>
        </w:tc>
        <w:tc>
          <w:tcPr>
            <w:tcW w:type="dxa" w:w="27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关键事件质量不足</w:t>
            </w:r>
          </w:p>
        </w:tc>
        <w:tc>
          <w:tcPr>
            <w:tcW w:type="dxa" w:w="266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事件去重、人工修复队列</w:t>
            </w:r>
          </w:p>
        </w:tc>
        <w:tc>
          <w:tcPr>
            <w:tcW w:type="dxa" w:w="180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修复率、未闭环记录数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便签与群消息交接</w:t>
            </w:r>
          </w:p>
        </w:tc>
        <w:tc>
          <w:tcPr>
            <w:tcW w:type="dxa" w:w="27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责任转移缺少可验证证据</w:t>
            </w:r>
          </w:p>
        </w:tc>
        <w:tc>
          <w:tcPr>
            <w:tcW w:type="dxa" w:w="266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业务编号、版本、状态、待办、接手确认</w:t>
            </w:r>
          </w:p>
        </w:tc>
        <w:tc>
          <w:tcPr>
            <w:tcW w:type="dxa" w:w="180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交接字段完整率、确认率</w:t>
            </w:r>
          </w:p>
        </w:tc>
      </w:tr>
      <w:tr>
        <w:trPr>
          <w:cantSplit/>
        </w:trPr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反馈无法回链</w:t>
            </w:r>
          </w:p>
        </w:tc>
        <w:tc>
          <w:tcPr>
            <w:tcW w:type="dxa" w:w="27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服务改进无法定位到原始业务</w:t>
            </w:r>
          </w:p>
        </w:tc>
        <w:tc>
          <w:tcPr>
            <w:tcW w:type="dxa" w:w="266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反馈关联业务编号、资料版本和签核人</w:t>
            </w:r>
          </w:p>
        </w:tc>
        <w:tc>
          <w:tcPr>
            <w:tcW w:type="dxa" w:w="180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可重建率、重复投诉率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这些指标不能孤立使用。等待时间下降可能来自患者减少、排班变化或统计排除，必须与业务量、队列结构和临床优先级事件一起解释。同理，解释次数下降只有在投诉未上升、错误提示可拦截、人工确认完整的前提下才构成有效改善。</w:t>
      </w:r>
    </w:p>
    <w:p>
      <w:pPr>
        <w:pStyle w:val="Heading1"/>
      </w:pPr>
      <w:r>
        <w:t>为什么 AI 不应接管分诊或改序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分诊和队列改序的失败后果与解释错误不同，前者可能直接影响临床安全与患者权益，且很难通过事后道歉恢复。模型置信度不能替代业务风险，低置信度不等于低风险，高置信度也不等于可自动执行。行业稳健做法是把职责拆成“识别与草拟”和“决定与执行”两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880"/>
        <w:gridCol w:w="2232"/>
        <w:gridCol w:w="2563"/>
      </w:tblGrid>
      <w:tr>
        <w:trPr>
          <w:tblHeader w:val="true"/>
          <w:cantSplit/>
        </w:trPr>
        <w:tc>
          <w:tcPr>
            <w:tcW w:type="dxa" w:w="1757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88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 可以参与</w:t>
            </w:r>
          </w:p>
        </w:tc>
        <w:tc>
          <w:tcPr>
            <w:tcW w:type="dxa" w:w="223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必须由谁决定</w:t>
            </w:r>
          </w:p>
        </w:tc>
        <w:tc>
          <w:tcPr>
            <w:tcW w:type="dxa" w:w="2563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失败控制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专业分诊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整理已知信息与待确认字段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护士或医生</w:t>
            </w:r>
          </w:p>
        </w:tc>
        <w:tc>
          <w:tcPr>
            <w:tcW w:type="dxa" w:w="2563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不能输出自动分诊结论</w:t>
            </w:r>
          </w:p>
        </w:tc>
      </w:tr>
      <w:tr>
        <w:trPr>
          <w:cantSplit/>
        </w:trPr>
        <w:tc>
          <w:tcPr>
            <w:tcW w:type="dxa" w:w="1757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急症升级</w:t>
            </w:r>
          </w:p>
        </w:tc>
        <w:tc>
          <w:tcPr>
            <w:tcW w:type="dxa" w:w="288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提示可能风险并引用来源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医护按院方流程</w:t>
            </w:r>
          </w:p>
        </w:tc>
        <w:tc>
          <w:tcPr>
            <w:tcW w:type="dxa" w:w="2563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所有提示转人工，禁止自动放行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迟到与加号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识别异常并草拟可选处理说明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护士或排班管理员</w:t>
            </w:r>
          </w:p>
        </w:tc>
        <w:tc>
          <w:tcPr>
            <w:tcW w:type="dxa" w:w="2563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确认前不改队列</w:t>
            </w:r>
          </w:p>
        </w:tc>
      </w:tr>
      <w:tr>
        <w:trPr>
          <w:cantSplit/>
        </w:trPr>
        <w:tc>
          <w:tcPr>
            <w:tcW w:type="dxa" w:w="1757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排班通知</w:t>
            </w:r>
          </w:p>
        </w:tc>
        <w:tc>
          <w:tcPr>
            <w:tcW w:type="dxa" w:w="288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检测版本与状态不一致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排班管理员</w:t>
            </w:r>
          </w:p>
        </w:tc>
        <w:tc>
          <w:tcPr>
            <w:tcW w:type="dxa" w:w="2563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暂停通知并保留原记录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交接完成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检查字段完整性与未确认项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接手人</w:t>
            </w:r>
          </w:p>
        </w:tc>
        <w:tc>
          <w:tcPr>
            <w:tcW w:type="dxa" w:w="2563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未确认不得关闭待办</w:t>
            </w:r>
          </w:p>
        </w:tc>
      </w:tr>
      <w:tr>
        <w:trPr>
          <w:cantSplit/>
        </w:trPr>
        <w:tc>
          <w:tcPr>
            <w:tcW w:type="dxa" w:w="1757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规则更新</w:t>
            </w:r>
          </w:p>
        </w:tc>
        <w:tc>
          <w:tcPr>
            <w:tcW w:type="dxa" w:w="288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归纳误判和未解决问题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运营与质控审批</w:t>
            </w:r>
          </w:p>
        </w:tc>
        <w:tc>
          <w:tcPr>
            <w:tcW w:type="dxa" w:w="2563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按生效日期发布版本</w:t>
            </w:r>
          </w:p>
        </w:tc>
      </w:tr>
    </w:tbl>
    <w:p>
      <w:pPr>
        <w:spacing w:after="0"/>
      </w:pPr>
    </w:p>
    <w:p>
      <w:pPr>
        <w:pStyle w:val="Heading1"/>
      </w:pPr>
      <w:r>
        <w:t>推荐参考架构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4378"/>
        <w:gridCol w:w="3240"/>
      </w:tblGrid>
      <w:tr>
        <w:trPr>
          <w:tblHeader w:val="true"/>
          <w:cantSplit/>
        </w:trPr>
        <w:tc>
          <w:tcPr>
            <w:tcW w:type="dxa" w:w="1555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37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24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关键输出</w:t>
            </w:r>
          </w:p>
        </w:tc>
      </w:tr>
      <w:tr>
        <w:trPr>
          <w:cantSplit/>
        </w:trPr>
        <w:tc>
          <w:tcPr>
            <w:tcW w:type="dxa" w:w="1555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体验层</w:t>
            </w:r>
          </w:p>
        </w:tc>
        <w:tc>
          <w:tcPr>
            <w:tcW w:type="dxa" w:w="437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导诊工作站、解释草稿、状态提示、反馈登记</w:t>
            </w:r>
          </w:p>
        </w:tc>
        <w:tc>
          <w:tcPr>
            <w:tcW w:type="dxa" w:w="324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可见的更新时间、来源和待确认项</w:t>
            </w:r>
          </w:p>
        </w:tc>
      </w:tr>
      <w:tr>
        <w:trPr>
          <w:cantSplit/>
        </w:trPr>
        <w:tc>
          <w:tcPr>
            <w:tcW w:type="dxa" w:w="1555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协作层</w:t>
            </w:r>
          </w:p>
        </w:tc>
        <w:tc>
          <w:tcPr>
            <w:tcW w:type="dxa" w:w="437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业务编号、事件时间轴、异常队列、交接与签核</w:t>
            </w:r>
          </w:p>
        </w:tc>
        <w:tc>
          <w:tcPr>
            <w:tcW w:type="dxa" w:w="324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统一状态、人工确认、责任闭环</w:t>
            </w:r>
          </w:p>
        </w:tc>
      </w:tr>
      <w:tr>
        <w:trPr>
          <w:cantSplit/>
        </w:trPr>
        <w:tc>
          <w:tcPr>
            <w:tcW w:type="dxa" w:w="1555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智能层</w:t>
            </w:r>
          </w:p>
        </w:tc>
        <w:tc>
          <w:tcPr>
            <w:tcW w:type="dxa" w:w="437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规则校验、检索、异常检测、摘要生成</w:t>
            </w:r>
          </w:p>
        </w:tc>
        <w:tc>
          <w:tcPr>
            <w:tcW w:type="dxa" w:w="324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建议草稿、证据引用、人工复核标记</w:t>
            </w:r>
          </w:p>
        </w:tc>
      </w:tr>
      <w:tr>
        <w:trPr>
          <w:cantSplit/>
        </w:trPr>
        <w:tc>
          <w:tcPr>
            <w:tcW w:type="dxa" w:w="1555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集成层</w:t>
            </w:r>
          </w:p>
        </w:tc>
        <w:tc>
          <w:tcPr>
            <w:tcW w:type="dxa" w:w="437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预约、HIS、叫号系统只读适配器、快照与去重</w:t>
            </w:r>
          </w:p>
        </w:tc>
        <w:tc>
          <w:tcPr>
            <w:tcW w:type="dxa" w:w="324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字段映射、版本、数据新鲜度</w:t>
            </w:r>
          </w:p>
        </w:tc>
      </w:tr>
      <w:tr>
        <w:trPr>
          <w:cantSplit/>
        </w:trPr>
        <w:tc>
          <w:tcPr>
            <w:tcW w:type="dxa" w:w="1555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治理层</w:t>
            </w:r>
          </w:p>
        </w:tc>
        <w:tc>
          <w:tcPr>
            <w:tcW w:type="dxa" w:w="437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身份与权限、审计、版本、留存、质控停止条件</w:t>
            </w:r>
          </w:p>
        </w:tc>
        <w:tc>
          <w:tcPr>
            <w:tcW w:type="dxa" w:w="324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可重建、可追责、可撤回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参考架构不要求替换现有核心系统，而是把分散状态映射到协作层。接口中断时继续展示带时间戳的上一份只读快照，并明确标记“暂未更新”；重连后按业务编号去重补齐。AI 不接管中断期间的人工流程，避免在缺少事实时继续生成确定性结论。</w:t>
      </w:r>
    </w:p>
    <w:p>
      <w:pPr>
        <w:pStyle w:val="Heading1"/>
      </w:pPr>
      <w:r>
        <w:t>试点与行业指标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试点应按“历史回放、并行运行、有限上线”三个阶段推进。历史回放用于检验字段完整度、事件对齐和解释一致性；并行运行用于观察同一业务在人工流程与辅助流程中的差异；有限上线只在停止条件、人工责任和回退方案均被确认后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952"/>
        <w:gridCol w:w="2664"/>
        <w:gridCol w:w="2304"/>
      </w:tblGrid>
      <w:tr>
        <w:trPr>
          <w:tblHeader w:val="true"/>
          <w:cantSplit/>
        </w:trPr>
        <w:tc>
          <w:tcPr>
            <w:tcW w:type="dxa" w:w="151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验证阶段</w:t>
            </w:r>
          </w:p>
        </w:tc>
        <w:tc>
          <w:tcPr>
            <w:tcW w:type="dxa" w:w="295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66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230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历史回放</w:t>
            </w:r>
          </w:p>
        </w:tc>
        <w:tc>
          <w:tcPr>
            <w:tcW w:type="dxa" w:w="295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重建事件时间轴，核对等待口径和异常样本</w:t>
            </w:r>
          </w:p>
        </w:tc>
        <w:tc>
          <w:tcPr>
            <w:tcW w:type="dxa" w:w="266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可复现关键节点；歧义进入人工修复队列</w:t>
            </w:r>
          </w:p>
        </w:tc>
        <w:tc>
          <w:tcPr>
            <w:tcW w:type="dxa" w:w="230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修复规则或接口映射后重跑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小范围并行</w:t>
            </w:r>
          </w:p>
        </w:tc>
        <w:tc>
          <w:tcPr>
            <w:tcW w:type="dxa" w:w="295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两个常规门诊同时保留原流程与辅助流程</w:t>
            </w:r>
          </w:p>
        </w:tc>
        <w:tc>
          <w:tcPr>
            <w:tcW w:type="dxa" w:w="266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急症提示全部转人工；无自动改序或写回</w:t>
            </w:r>
          </w:p>
        </w:tc>
        <w:tc>
          <w:tcPr>
            <w:tcW w:type="dxa" w:w="230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触发停止条件即暂停并复盘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验收评估</w:t>
            </w:r>
          </w:p>
        </w:tc>
        <w:tc>
          <w:tcPr>
            <w:tcW w:type="dxa" w:w="295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固定分母、排除规则和统计周期复测</w:t>
            </w:r>
          </w:p>
        </w:tc>
        <w:tc>
          <w:tcPr>
            <w:tcW w:type="dxa" w:w="266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等待时间下降至少 20%，错误可追溯</w:t>
            </w:r>
          </w:p>
        </w:tc>
        <w:tc>
          <w:tcPr>
            <w:tcW w:type="dxa" w:w="230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未达条件不扩大范围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反馈迭代</w:t>
            </w:r>
          </w:p>
        </w:tc>
        <w:tc>
          <w:tcPr>
            <w:tcW w:type="dxa" w:w="295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每周汇总误判、未解决问题与人工改动</w:t>
            </w:r>
          </w:p>
        </w:tc>
        <w:tc>
          <w:tcPr>
            <w:tcW w:type="dxa" w:w="266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归属人、状态和规则版本明确</w:t>
            </w:r>
          </w:p>
        </w:tc>
        <w:tc>
          <w:tcPr>
            <w:tcW w:type="dxa" w:w="230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未经审批不发布新规则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建议同时观察结果指标、过程指标与风险指标。结果指标包括候诊中位数、爽约率与服务咨询量；过程指标包括解释一致性、异常关闭时长和交接确认率；风险指标包括越权访问、急症提示漏转人工、错误建议覆盖原记录和无法重建的审计事件。</w:t>
      </w:r>
    </w:p>
    <w:p>
      <w:pPr>
        <w:pStyle w:val="Heading1"/>
      </w:pPr>
      <w:r>
        <w:t>结论与建议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01  </w:t>
      </w:r>
      <w:r>
        <w:rPr>
          <w:rFonts w:ascii="Microsoft YaHei" w:hAnsi="Microsoft YaHei" w:eastAsia="Microsoft YaHei"/>
          <w:b w:val="0"/>
          <w:color w:val="17212B"/>
          <w:sz w:val="21"/>
        </w:rPr>
        <w:t>以统一业务状态和等待口径作为第一项工程成果，不以生成式界面先行。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02  </w:t>
      </w:r>
      <w:r>
        <w:rPr>
          <w:rFonts w:ascii="Microsoft YaHei" w:hAnsi="Microsoft YaHei" w:eastAsia="Microsoft YaHei"/>
          <w:b w:val="0"/>
          <w:color w:val="17212B"/>
          <w:sz w:val="21"/>
        </w:rPr>
        <w:t>以导诊等待解释作为首个可回放试点，AI 只生成草稿并显示来源和更新时间。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03  </w:t>
      </w:r>
      <w:r>
        <w:rPr>
          <w:rFonts w:ascii="Microsoft YaHei" w:hAnsi="Microsoft YaHei" w:eastAsia="Microsoft YaHei"/>
          <w:b w:val="0"/>
          <w:color w:val="17212B"/>
          <w:sz w:val="21"/>
        </w:rPr>
        <w:t>把排班通知失配、急症升级与队列改序设为人工闸门，确认前不发生状态变更。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04  </w:t>
      </w:r>
      <w:r>
        <w:rPr>
          <w:rFonts w:ascii="Microsoft YaHei" w:hAnsi="Microsoft YaHei" w:eastAsia="Microsoft YaHei"/>
          <w:b w:val="0"/>
          <w:color w:val="17212B"/>
          <w:sz w:val="21"/>
        </w:rPr>
        <w:t>用两个常规门诊做小范围并行试点，固定分母和周期，达到 20% 改善后才扩大范围。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05  </w:t>
      </w:r>
      <w:r>
        <w:rPr>
          <w:rFonts w:ascii="Microsoft YaHei" w:hAnsi="Microsoft YaHei" w:eastAsia="Microsoft YaHei"/>
          <w:b w:val="0"/>
          <w:color w:val="17212B"/>
          <w:sz w:val="21"/>
        </w:rPr>
        <w:t>在试点启动前书面确认授权范围、停止条件、留存期限和反馈归属。</w:t>
      </w:r>
    </w:p>
    <w:p>
      <w:pPr>
        <w:pStyle w:val="Heading1"/>
      </w:pPr>
      <w:r>
        <w:t>参考资料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国家卫生健康委、国家中医药局：《改善就医感受提升患者体验主题活动方案（2023-2025年）》，2023 年。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国家卫生健康委：《医疗机构门诊质量管理暂行规定》，2022 年。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国务院：《医疗质量管理办法》，2016 年。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国家卫生健康委、国家中医药局：《互联网诊疗监管细则（试行）》，2022 年。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全国人民代表大会常务委员会：《中华人民共和国个人信息保护法》，2021 年。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国家卫生健康委：《电子病历应用管理规范（试行）》，2017 年。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国家市场监督管理总局、国家标准化管理委员会：GB/T 22239-2019《信息安全技术 网络安全等级保护基本要求》。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FDE Discovery Lab：《东湖门诊中心业务需求发现报告》，2026 年 10 月 23 日，合成场景材料。</w:t>
      </w:r>
    </w:p>
    <w:p>
      <w:pPr>
        <w:spacing w:after="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说明：政策文件用于提炼治理原则，具体条款与适用要求应由医院法务、质控、信息和院感等责任部门按现行版本确认。</w:t>
      </w:r>
    </w:p>
    <w:sectPr w:rsidR="00FC693F" w:rsidRPr="0006063C" w:rsidSect="00034616">
      <w:footerReference w:type="default" r:id="rId9"/>
      <w:pgSz w:w="11906" w:h="16838"/>
      <w:pgMar w:top="1037" w:right="1181" w:bottom="979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B8794"/>
        <w:sz w:val="17"/>
      </w:rPr>
      <w:t xml:space="preserve">门诊预约与分诊协作 · 行业分析  |  </w:t>
    </w:r>
    <w:r>
      <w:rPr>
        <w:rFonts w:ascii="Microsoft YaHei" w:hAnsi="Microsoft YaHei" w:eastAsia="Microsoft YaHei"/>
        <w:b w:val="0"/>
        <w:color w:val="7B8794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