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</w:pPr>
      <w:r>
        <w:rPr>
          <w:rFonts w:ascii="Microsoft YaHei" w:hAnsi="Microsoft YaHei" w:eastAsia="Microsoft YaHei"/>
          <w:b/>
          <w:color w:val="0F766E"/>
          <w:sz w:val="19"/>
        </w:rPr>
        <w:t>方案设计</w:t>
      </w:r>
    </w:p>
    <w:p>
      <w:pPr>
        <w:pStyle w:val="Title"/>
        <w:spacing w:after="180"/>
      </w:pPr>
      <w:r>
        <w:rPr>
          <w:rFonts w:ascii="Microsoft YaHei" w:hAnsi="Microsoft YaHei" w:eastAsia="Microsoft YaHei"/>
          <w:b/>
          <w:color w:val="000000"/>
          <w:sz w:val="54"/>
        </w:rPr>
        <w:t>门诊预约与分诊协作数智化方案设计</w:t>
      </w:r>
    </w:p>
    <w:p>
      <w:pPr>
        <w:spacing w:after="520"/>
      </w:pPr>
      <w:r>
        <w:rPr>
          <w:rFonts w:ascii="Microsoft YaHei" w:hAnsi="Microsoft YaHei" w:eastAsia="Microsoft YaHei"/>
          <w:b w:val="0"/>
          <w:color w:val="52606D"/>
          <w:sz w:val="28"/>
        </w:rPr>
        <w:t>统一状态、辅助解释、异常检测与人工闸门组成的低风险试点方案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272"/>
      </w:tblGrid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52606D"/>
                <w:sz w:val="19"/>
              </w:rPr>
              <w:t>项目</w:t>
            </w:r>
          </w:p>
        </w:tc>
        <w:tc>
          <w:tcPr>
            <w:tcW w:type="dxa" w:w="72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17212B"/>
                <w:sz w:val="21"/>
              </w:rPr>
              <w:t>门诊预约与分诊协作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52606D"/>
                <w:sz w:val="19"/>
              </w:rPr>
              <w:t>方案版本</w:t>
            </w:r>
          </w:p>
        </w:tc>
        <w:tc>
          <w:tcPr>
            <w:tcW w:type="dxa" w:w="72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17212B"/>
                <w:sz w:val="21"/>
              </w:rPr>
              <w:t>V1.0，试点设计稿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52606D"/>
                <w:sz w:val="19"/>
              </w:rPr>
              <w:t>文档日期</w:t>
            </w:r>
          </w:p>
        </w:tc>
        <w:tc>
          <w:tcPr>
            <w:tcW w:type="dxa" w:w="72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17212B"/>
                <w:sz w:val="21"/>
              </w:rPr>
              <w:t>2026 年 10 月 23 日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52606D"/>
                <w:sz w:val="19"/>
              </w:rPr>
              <w:t>首期预算</w:t>
            </w:r>
          </w:p>
        </w:tc>
        <w:tc>
          <w:tcPr>
            <w:tcW w:type="dxa" w:w="72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color w:val="17212B"/>
                <w:sz w:val="21"/>
              </w:rPr>
              <w:t>人民币 160,000 元，含税</w:t>
            </w:r>
          </w:p>
        </w:tc>
      </w:tr>
    </w:tbl>
    <w:p>
      <w:pPr>
        <w:spacing w:before="560" w:after="80"/>
      </w:pPr>
      <w:r>
        <w:rPr>
          <w:rFonts w:ascii="Microsoft YaHei" w:hAnsi="Microsoft YaHei" w:eastAsia="Microsoft YaHei"/>
          <w:b/>
          <w:color w:val="A85A00"/>
          <w:sz w:val="21"/>
        </w:rPr>
        <w:t>阅读提示</w:t>
      </w:r>
    </w:p>
    <w:p>
      <w:pPr>
        <w:spacing w:after="0"/>
      </w:pPr>
      <w:r>
        <w:rPr>
          <w:rFonts w:ascii="Microsoft YaHei" w:hAnsi="Microsoft YaHei" w:eastAsia="Microsoft YaHei"/>
          <w:b w:val="0"/>
          <w:color w:val="52606D"/>
          <w:sz w:val="19"/>
        </w:rPr>
        <w:t>本方案以实验室合成场景为起点。所有流程、字段、接口与指标均需通过医院日志、现场观察、接口核验和质控审批后，才能作为实施与验收依据。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建议建设一个轻量的门诊协同层，而不是替换预约平台、HIS 或叫号系统。协同层以统一业务编号串联预约、签到、分诊、候诊、接诊和检查交接事件，以只读方式汇聚授权状态，并将 AI 限定在解释、检测、草拟、提醒和证据检索五类动作。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首期应在两个常规门诊开展历史回放与小范围并行试点。验收目标沿用业务方要求：候诊中位数从 68 分钟降至 40 分钟，等待时间下降至少 20%，爽约率从 19% 降至 10%；所有急症识别提示必须转人工。方案预算为人民币 160,000 元，实施周期建议 8 至 10 周。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0F766E"/>
          <w:sz w:val="19"/>
        </w:rPr>
        <w:t>推荐决策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01  </w:t>
      </w:r>
      <w:r>
        <w:rPr>
          <w:rFonts w:ascii="Microsoft YaHei" w:hAnsi="Microsoft YaHei" w:eastAsia="Microsoft YaHei"/>
          <w:b w:val="0"/>
          <w:color w:val="17212B"/>
          <w:sz w:val="21"/>
        </w:rPr>
        <w:t>先批准“等待口径统一与只读集成”，再批准面向患者的解释能力。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02  </w:t>
      </w:r>
      <w:r>
        <w:rPr>
          <w:rFonts w:ascii="Microsoft YaHei" w:hAnsi="Microsoft YaHei" w:eastAsia="Microsoft YaHei"/>
          <w:b w:val="0"/>
          <w:color w:val="17212B"/>
          <w:sz w:val="21"/>
        </w:rPr>
        <w:t>AI 不自动分诊、不改医嘱、不改排班、不自动调整队列次序。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03  </w:t>
      </w:r>
      <w:r>
        <w:rPr>
          <w:rFonts w:ascii="Microsoft YaHei" w:hAnsi="Microsoft YaHei" w:eastAsia="Microsoft YaHei"/>
          <w:b w:val="0"/>
          <w:color w:val="17212B"/>
          <w:sz w:val="21"/>
        </w:rPr>
        <w:t>所有异常建议必须显示来源、版本、更新时间、触发规则和人工复核状态。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04  </w:t>
      </w:r>
      <w:r>
        <w:rPr>
          <w:rFonts w:ascii="Microsoft YaHei" w:hAnsi="Microsoft YaHei" w:eastAsia="Microsoft YaHei"/>
          <w:b w:val="0"/>
          <w:color w:val="17212B"/>
          <w:sz w:val="21"/>
        </w:rPr>
        <w:t>通过历史回放验证可重建性后，再进入两个门诊的并行试点。</w:t>
      </w:r>
    </w:p>
    <w:p>
      <w:pPr>
        <w:pStyle w:val="Heading1"/>
      </w:pPr>
      <w:r>
        <w:t>现状问题与设计判断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现状主流程为预约、到院登记、分诊、候诊、接诊和检查交接。流程本身并不缺失，缺失的是跨系统的统一状态、异常规则和责任证据。患者、叫号系统和运营分别采用不同等待起点；迟到、加号、漏叫和医生临时急诊打断并行发生；关键说明常留在个人便签或群里，导致下一责任人无法还原上下文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state-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52606D"/>
          <w:sz w:val="17"/>
        </w:rPr>
        <w:t>图 1  当前状态 12 步流程与主要断点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设计判断是先将“事实层”和“决定层”分开。事实层以事件、版本、来源和更新时间描述当前状态；决定层明确谁有权分诊、处理异常、改变队列、暂停通知和签核规则。AI 只能参与事实整理与建议草稿，不能替代决定层责任。</w:t>
      </w:r>
    </w:p>
    <w:p>
      <w:pPr>
        <w:pStyle w:val="Heading1"/>
      </w:pPr>
      <w:r>
        <w:t>目标、非目标与成功条件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536"/>
        <w:gridCol w:w="3096"/>
      </w:tblGrid>
      <w:tr>
        <w:trPr>
          <w:tblHeader w:val="true"/>
          <w:cantSplit/>
        </w:trPr>
        <w:tc>
          <w:tcPr>
            <w:tcW w:type="dxa" w:w="151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53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9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业务目标</w:t>
            </w:r>
          </w:p>
        </w:tc>
        <w:tc>
          <w:tcPr>
            <w:tcW w:type="dxa" w:w="45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降低无效候诊与重复解释，改善患者对等待信息的理解</w:t>
            </w:r>
          </w:p>
        </w:tc>
        <w:tc>
          <w:tcPr>
            <w:tcW w:type="dxa" w:w="309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候诊中位数、咨询量、解释一致率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协作目标</w:t>
            </w:r>
          </w:p>
        </w:tc>
        <w:tc>
          <w:tcPr>
            <w:tcW w:type="dxa" w:w="453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用统一业务编号和版本化交接减少责任断点</w:t>
            </w:r>
          </w:p>
        </w:tc>
        <w:tc>
          <w:tcPr>
            <w:tcW w:type="dxa" w:w="309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交接完整率、接手确认率、可重建率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风险目标</w:t>
            </w:r>
          </w:p>
        </w:tc>
        <w:tc>
          <w:tcPr>
            <w:tcW w:type="dxa" w:w="45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急症提示全部人工复核，AI 不改临床与队列决定</w:t>
            </w:r>
          </w:p>
        </w:tc>
        <w:tc>
          <w:tcPr>
            <w:tcW w:type="dxa" w:w="309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提示全转人工、越权为 0、无自动改序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非目标</w:t>
            </w:r>
          </w:p>
        </w:tc>
        <w:tc>
          <w:tcPr>
            <w:tcW w:type="dxa" w:w="453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自动分诊、自动诊断、修改医嘱、自动改排班或队列</w:t>
            </w:r>
          </w:p>
        </w:tc>
        <w:tc>
          <w:tcPr>
            <w:tcW w:type="dxa" w:w="309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设计审查与审计规则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试点范围</w:t>
            </w:r>
          </w:p>
        </w:tc>
        <w:tc>
          <w:tcPr>
            <w:tcW w:type="dxa" w:w="453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两个常规门诊，历史回放后小范围并行</w:t>
            </w:r>
          </w:p>
        </w:tc>
        <w:tc>
          <w:tcPr>
            <w:tcW w:type="dxa" w:w="309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试点方案与质控批准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验收条件</w:t>
            </w:r>
          </w:p>
        </w:tc>
        <w:tc>
          <w:tcPr>
            <w:tcW w:type="dxa" w:w="453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等待时间下降至少 20%，急症提示全部转人工</w:t>
            </w:r>
          </w:p>
        </w:tc>
        <w:tc>
          <w:tcPr>
            <w:tcW w:type="dxa" w:w="309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固定分母、周期和排除规则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“等待时间下降 20%”必须使用同一批业务在同一口径下的可比结果。任何把一条业务拆成多次成功、变更排除规则或只统计低复杂度患者的方式，都不构成验收通过。</w:t>
      </w:r>
    </w:p>
    <w:p>
      <w:pPr>
        <w:pStyle w:val="Heading1"/>
      </w:pPr>
      <w:r>
        <w:t>目标业务流程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6752" cy="4002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-state-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752" cy="4002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b w:val="0"/>
          <w:color w:val="52606D"/>
          <w:sz w:val="17"/>
        </w:rPr>
        <w:t>图 2  数智化目标状态 14 步流程与 AI 边界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目标流程保留原有业务责任链，在关键节点增加统一状态、异常提示和可追溯确认。AI 主要服务于导诊、患者服务和排班管理，在专业分诊、急症升级、异常改序、通知暂停、接手确认与规则发布六处设置人工闸门。</w:t>
      </w:r>
    </w:p>
    <w:p>
      <w:r>
        <w:br w:type="page"/>
      </w:r>
    </w:p>
    <w:p>
      <w:pPr>
        <w:pStyle w:val="Heading1"/>
      </w:pPr>
      <w:r>
        <w:t>系统架构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880"/>
        <w:gridCol w:w="2880"/>
        <w:gridCol w:w="2232"/>
      </w:tblGrid>
      <w:tr>
        <w:trPr>
          <w:tblHeader w:val="true"/>
          <w:cantSplit/>
        </w:trPr>
        <w:tc>
          <w:tcPr>
            <w:tcW w:type="dxa" w:w="151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架构层</w:t>
            </w:r>
          </w:p>
        </w:tc>
        <w:tc>
          <w:tcPr>
            <w:tcW w:type="dxa" w:w="288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88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3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技术约束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交互层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导诊工作站、患者服务台、反馈登记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展示状态、解释草稿、待确认项和刷新时间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不新增脱离现场的补录步骤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协作层</w:t>
            </w:r>
          </w:p>
        </w:tc>
        <w:tc>
          <w:tcPr>
            <w:tcW w:type="dxa" w:w="288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业务编号、事件时间轴、异常队列、交接待办</w:t>
            </w:r>
          </w:p>
        </w:tc>
        <w:tc>
          <w:tcPr>
            <w:tcW w:type="dxa" w:w="288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统一状态与责任，记录人工确认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错误建议不得覆盖原记录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智能层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规则引擎、检索、异常检测、摘要生成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生成带来源的建议草稿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只读事实，输出必须可解释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集成层</w:t>
            </w:r>
          </w:p>
        </w:tc>
        <w:tc>
          <w:tcPr>
            <w:tcW w:type="dxa" w:w="288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预约、HIS、叫号只读适配器</w:t>
            </w:r>
          </w:p>
        </w:tc>
        <w:tc>
          <w:tcPr>
            <w:tcW w:type="dxa" w:w="288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字段映射、去重、版本、快照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首期不提供写回能力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治理层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身份、权限、审计、版本、停止条件</w:t>
            </w:r>
          </w:p>
        </w:tc>
        <w:tc>
          <w:tcPr>
            <w:tcW w:type="dxa" w:w="288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重建处理链和反馈链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最小权限与必要信息原则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协同层的核心不是保存一套新的全量病历，而是保存业务状态引用和必要事件。敏感字段应按岗位脱敏，不需要模型读取的字段不应进入提示上下文。审计记录保留业务编号、资料版本、事实引用、建议结果、人工改动和签核人，不记录账号口令。</w:t>
      </w:r>
    </w:p>
    <w:p>
      <w:pPr>
        <w:pStyle w:val="Heading1"/>
      </w:pPr>
      <w:r>
        <w:t>AI 能力设计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2952"/>
        <w:gridCol w:w="1944"/>
      </w:tblGrid>
      <w:tr>
        <w:trPr>
          <w:tblHeader w:val="true"/>
          <w:cantSplit/>
        </w:trPr>
        <w:tc>
          <w:tcPr>
            <w:tcW w:type="dxa" w:w="151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2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95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94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人工控制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等待解释</w:t>
            </w:r>
          </w:p>
        </w:tc>
        <w:tc>
          <w:tcPr>
            <w:tcW w:type="dxa" w:w="302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当前队列状态、签到时间、更新时间、统一口径</w:t>
            </w:r>
          </w:p>
        </w:tc>
        <w:tc>
          <w:tcPr>
            <w:tcW w:type="dxa" w:w="295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患者可理解的解释草稿</w:t>
            </w:r>
          </w:p>
        </w:tc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导诊编辑后可对外使用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异常检测</w:t>
            </w:r>
          </w:p>
        </w:tc>
        <w:tc>
          <w:tcPr>
            <w:tcW w:type="dxa" w:w="302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迟到、加号、漏叫、排班差异、超时事件</w:t>
            </w:r>
          </w:p>
        </w:tc>
        <w:tc>
          <w:tcPr>
            <w:tcW w:type="dxa" w:w="295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异常类型、证据、建议处理方向</w:t>
            </w:r>
          </w:p>
        </w:tc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护士或排班管理员确认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交接摘要</w:t>
            </w:r>
          </w:p>
        </w:tc>
        <w:tc>
          <w:tcPr>
            <w:tcW w:type="dxa" w:w="302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业务编号、状态、待办、处理记录</w:t>
            </w:r>
          </w:p>
        </w:tc>
        <w:tc>
          <w:tcPr>
            <w:tcW w:type="dxa" w:w="295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版本化交接摘要与缺失字段</w:t>
            </w:r>
          </w:p>
        </w:tc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发起人与接手人双向确认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通知一致性</w:t>
            </w:r>
          </w:p>
        </w:tc>
        <w:tc>
          <w:tcPr>
            <w:tcW w:type="dxa" w:w="302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排班版本、急诊事件、到诊通知</w:t>
            </w:r>
          </w:p>
        </w:tc>
        <w:tc>
          <w:tcPr>
            <w:tcW w:type="dxa" w:w="295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不一致提示与暂停建议</w:t>
            </w:r>
          </w:p>
        </w:tc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排班管理员确认后暂停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证据检索</w:t>
            </w:r>
          </w:p>
        </w:tc>
        <w:tc>
          <w:tcPr>
            <w:tcW w:type="dxa" w:w="302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业务编号、资料版本、反馈内容</w:t>
            </w:r>
          </w:p>
        </w:tc>
        <w:tc>
          <w:tcPr>
            <w:tcW w:type="dxa" w:w="295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相关事实与时间线</w:t>
            </w:r>
          </w:p>
        </w:tc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质控与患者服务人工判断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AI 输出应统一包含 recommendation_type、business_id、source_version、facts_used、triggered_rule、human_review_required、expires_at 和 evidence_ref。过期建议自动标记“待刷新”，不得继续作为当前承诺。</w:t>
      </w:r>
    </w:p>
    <w:p>
      <w:pPr>
        <w:pStyle w:val="Heading1"/>
      </w:pPr>
      <w:r>
        <w:t>人工闸门与角色责任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08"/>
        <w:gridCol w:w="2232"/>
        <w:gridCol w:w="2808"/>
      </w:tblGrid>
      <w:tr>
        <w:trPr>
          <w:tblHeader w:val="true"/>
          <w:cantSplit/>
        </w:trPr>
        <w:tc>
          <w:tcPr>
            <w:tcW w:type="dxa" w:w="158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闸门</w:t>
            </w:r>
          </w:p>
        </w:tc>
        <w:tc>
          <w:tcPr>
            <w:tcW w:type="dxa" w:w="280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触发场景</w:t>
            </w:r>
          </w:p>
        </w:tc>
        <w:tc>
          <w:tcPr>
            <w:tcW w:type="dxa" w:w="223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确认角色</w:t>
            </w:r>
          </w:p>
        </w:tc>
        <w:tc>
          <w:tcPr>
            <w:tcW w:type="dxa" w:w="280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未确认时系统行为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专业分诊</w:t>
            </w:r>
          </w:p>
        </w:tc>
        <w:tc>
          <w:tcPr>
            <w:tcW w:type="dxa" w:w="280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首次分诊或信息有歧义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护士或医生</w:t>
            </w:r>
          </w:p>
        </w:tc>
        <w:tc>
          <w:tcPr>
            <w:tcW w:type="dxa" w:w="280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不生成分诊结论，只展示待确认信息</w:t>
            </w:r>
          </w:p>
        </w:tc>
      </w:tr>
      <w:tr>
        <w:trPr>
          <w:cantSplit/>
        </w:trPr>
        <w:tc>
          <w:tcPr>
            <w:tcW w:type="dxa" w:w="158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急症升级</w:t>
            </w:r>
          </w:p>
        </w:tc>
        <w:tc>
          <w:tcPr>
            <w:tcW w:type="dxa" w:w="280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提示紧急症状或临床优先级冲突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医护按院方流程</w:t>
            </w:r>
          </w:p>
        </w:tc>
        <w:tc>
          <w:tcPr>
            <w:tcW w:type="dxa" w:w="280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立即转人工，禁止自动放行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迟到与加号</w:t>
            </w:r>
          </w:p>
        </w:tc>
        <w:tc>
          <w:tcPr>
            <w:tcW w:type="dxa" w:w="280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异常队列需要改变处理顺序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护士或排班管理员</w:t>
            </w:r>
          </w:p>
        </w:tc>
        <w:tc>
          <w:tcPr>
            <w:tcW w:type="dxa" w:w="280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保持现队列，记录待确认</w:t>
            </w:r>
          </w:p>
        </w:tc>
      </w:tr>
      <w:tr>
        <w:trPr>
          <w:cantSplit/>
        </w:trPr>
        <w:tc>
          <w:tcPr>
            <w:tcW w:type="dxa" w:w="158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排班通知</w:t>
            </w:r>
          </w:p>
        </w:tc>
        <w:tc>
          <w:tcPr>
            <w:tcW w:type="dxa" w:w="280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医生急诊打断或版本不同步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排班管理员</w:t>
            </w:r>
          </w:p>
        </w:tc>
        <w:tc>
          <w:tcPr>
            <w:tcW w:type="dxa" w:w="280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暂停自动通知，保留原记录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交接闭环</w:t>
            </w:r>
          </w:p>
        </w:tc>
        <w:tc>
          <w:tcPr>
            <w:tcW w:type="dxa" w:w="280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跨岗待办需要责任转移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接手人</w:t>
            </w:r>
          </w:p>
        </w:tc>
        <w:tc>
          <w:tcPr>
            <w:tcW w:type="dxa" w:w="280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待办保持开启，提醒未确认</w:t>
            </w:r>
          </w:p>
        </w:tc>
      </w:tr>
      <w:tr>
        <w:trPr>
          <w:cantSplit/>
        </w:trPr>
        <w:tc>
          <w:tcPr>
            <w:tcW w:type="dxa" w:w="158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规则发布</w:t>
            </w:r>
          </w:p>
        </w:tc>
        <w:tc>
          <w:tcPr>
            <w:tcW w:type="dxa" w:w="280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误判改进或规则冲突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运营、质控与信息</w:t>
            </w:r>
          </w:p>
        </w:tc>
        <w:tc>
          <w:tcPr>
            <w:tcW w:type="dxa" w:w="280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继续使用现行生效版本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角色授权应由组织书面确认。建议设置业务负责人、流程管理员、临床审核人、数据责任人、系统管理员和审计查看人。任何角色都不能借用他人账号，也不能因模型建议而跳过签核。</w:t>
      </w:r>
    </w:p>
    <w:p>
      <w:pPr>
        <w:pStyle w:val="Heading1"/>
      </w:pPr>
      <w:r>
        <w:t>数据契约与事件字段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672"/>
        <w:gridCol w:w="2520"/>
        <w:gridCol w:w="1728"/>
      </w:tblGrid>
      <w:tr>
        <w:trPr>
          <w:tblHeader w:val="true"/>
          <w:cantSplit/>
        </w:trPr>
        <w:tc>
          <w:tcPr>
            <w:tcW w:type="dxa" w:w="151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367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52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2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质量要求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业务身份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business_id、appointment_id、encounter_id、脱敏患者标识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串联预约、签到、接诊和反馈</w:t>
            </w:r>
          </w:p>
        </w:tc>
        <w:tc>
          <w:tcPr>
            <w:tcW w:type="dxa" w:w="172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主编号唯一，去重可追踪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事件</w:t>
            </w:r>
          </w:p>
        </w:tc>
        <w:tc>
          <w:tcPr>
            <w:tcW w:type="dxa" w:w="367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event_type、event_time、source_system、source_version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建立时间轴和等待口径</w:t>
            </w:r>
          </w:p>
        </w:tc>
        <w:tc>
          <w:tcPr>
            <w:tcW w:type="dxa" w:w="172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时间可对齐，事件不可静默覆盖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状态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queue_status、schedule_status、consult_status、data_freshness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识别当前状态和过期信息</w:t>
            </w:r>
          </w:p>
        </w:tc>
        <w:tc>
          <w:tcPr>
            <w:tcW w:type="dxa" w:w="172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状态字典与适用版本明确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规则</w:t>
            </w:r>
          </w:p>
        </w:tc>
        <w:tc>
          <w:tcPr>
            <w:tcW w:type="dxa" w:w="367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triage_rule_version、explanation_rule_version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解释依据与版本追溯</w:t>
            </w:r>
          </w:p>
        </w:tc>
        <w:tc>
          <w:tcPr>
            <w:tcW w:type="dxa" w:w="172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冲突保留两个版本提交人工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交接</w:t>
            </w:r>
          </w:p>
        </w:tc>
        <w:tc>
          <w:tcPr>
            <w:tcW w:type="dxa" w:w="367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handoff_version、status、unresolved_items、assignee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责任转移与闭环</w:t>
            </w:r>
          </w:p>
        </w:tc>
        <w:tc>
          <w:tcPr>
            <w:tcW w:type="dxa" w:w="172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接手确认后才结束待办</w:t>
            </w:r>
          </w:p>
        </w:tc>
      </w:tr>
      <w:tr>
        <w:trPr>
          <w:cantSplit/>
        </w:trPr>
        <w:tc>
          <w:tcPr>
            <w:tcW w:type="dxa" w:w="15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审计</w:t>
            </w:r>
          </w:p>
        </w:tc>
        <w:tc>
          <w:tcPr>
            <w:tcW w:type="dxa" w:w="367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evidence_ref、ai_output、human_edit、signer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重建单次处理</w:t>
            </w:r>
          </w:p>
        </w:tc>
        <w:tc>
          <w:tcPr>
            <w:tcW w:type="dxa" w:w="172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保留改动前后值，不记录口令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关键事件建议包括预约创建或变更、签到、重复签到、分诊记录、急症提示、队列变更、叫号、接诊开始、交接发出、交接接手、反馈关联和规则发布。每个事件都需要来源、时间和版本，由数据责任人维护字典。</w:t>
      </w:r>
    </w:p>
    <w:p>
      <w:pPr>
        <w:pStyle w:val="Heading1"/>
      </w:pPr>
      <w:r>
        <w:t>异常处理与降级方案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312"/>
        <w:gridCol w:w="2232"/>
        <w:gridCol w:w="2232"/>
      </w:tblGrid>
      <w:tr>
        <w:trPr>
          <w:tblHeader w:val="true"/>
          <w:cantSplit/>
        </w:trPr>
        <w:tc>
          <w:tcPr>
            <w:tcW w:type="dxa" w:w="158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331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223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人工动作</w:t>
            </w:r>
          </w:p>
        </w:tc>
        <w:tc>
          <w:tcPr>
            <w:tcW w:type="dxa" w:w="223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恢复条件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接口中断</w:t>
            </w:r>
          </w:p>
        </w:tc>
        <w:tc>
          <w:tcPr>
            <w:tcW w:type="dxa" w:w="33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展示带时间戳的上一份只读快照，标记“暂未更新”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继续使用原人工流程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重连后按业务编号去重补齐</w:t>
            </w:r>
          </w:p>
        </w:tc>
      </w:tr>
      <w:tr>
        <w:trPr>
          <w:cantSplit/>
        </w:trPr>
        <w:tc>
          <w:tcPr>
            <w:tcW w:type="dxa" w:w="158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签到或事件重复</w:t>
            </w:r>
          </w:p>
        </w:tc>
        <w:tc>
          <w:tcPr>
            <w:tcW w:type="dxa" w:w="33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进入人工修复队列，不进入推荐样本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核对原事件与时间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修复后形成新版本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规则版本冲突</w:t>
            </w:r>
          </w:p>
        </w:tc>
        <w:tc>
          <w:tcPr>
            <w:tcW w:type="dxa" w:w="33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同时展示两个版本与适用范围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质控选择或要求补充依据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形成审批后的生效版本</w:t>
            </w:r>
          </w:p>
        </w:tc>
      </w:tr>
      <w:tr>
        <w:trPr>
          <w:cantSplit/>
        </w:trPr>
        <w:tc>
          <w:tcPr>
            <w:tcW w:type="dxa" w:w="158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排班未同步</w:t>
            </w:r>
          </w:p>
        </w:tc>
        <w:tc>
          <w:tcPr>
            <w:tcW w:type="dxa" w:w="33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暂停准点建议并提示状态不一致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排班管理员核对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排班与通知版本一致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急症提示</w:t>
            </w:r>
          </w:p>
        </w:tc>
        <w:tc>
          <w:tcPr>
            <w:tcW w:type="dxa" w:w="331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强制标记人工复核，不提供自动结论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按院方流程升级并记录</w:t>
            </w:r>
          </w:p>
        </w:tc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医护完成处理与签核</w:t>
            </w:r>
          </w:p>
        </w:tc>
      </w:tr>
      <w:tr>
        <w:trPr>
          <w:cantSplit/>
        </w:trPr>
        <w:tc>
          <w:tcPr>
            <w:tcW w:type="dxa" w:w="158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交接未确认</w:t>
            </w:r>
          </w:p>
        </w:tc>
        <w:tc>
          <w:tcPr>
            <w:tcW w:type="dxa" w:w="331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待办保持开启并提醒未解决事项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接手人确认或退回原岗</w:t>
            </w:r>
          </w:p>
        </w:tc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状态、接手人和时间完整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降级不等于停机。原有人工流程始终是可用的主路径，辅助系统是叠加层。当事实不足、模型输出过期或规则冲突时，系统应明确停止建议并交给人工作业，而不是用模糊提示要求一线自行猜测。</w:t>
      </w:r>
    </w:p>
    <w:p>
      <w:pPr>
        <w:pStyle w:val="Heading1"/>
      </w:pPr>
      <w:r>
        <w:t>安全、权限与审计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/>
          <w:color w:val="17212B"/>
          <w:sz w:val="21"/>
        </w:rPr>
        <w:t>最小权限。</w:t>
      </w:r>
      <w:r>
        <w:rPr>
          <w:rFonts w:ascii="Microsoft YaHei" w:hAnsi="Microsoft YaHei" w:eastAsia="Microsoft YaHei"/>
          <w:b w:val="0"/>
          <w:color w:val="17212B"/>
          <w:sz w:val="21"/>
        </w:rPr>
        <w:t>只授权岗位完成当前任务所需的号源、排班、签到、叫号、分诊规则与反馈信息。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/>
          <w:color w:val="17212B"/>
          <w:sz w:val="21"/>
        </w:rPr>
        <w:t>必要信息。</w:t>
      </w:r>
      <w:r>
        <w:rPr>
          <w:rFonts w:ascii="Microsoft YaHei" w:hAnsi="Microsoft YaHei" w:eastAsia="Microsoft YaHei"/>
          <w:b w:val="0"/>
          <w:color w:val="17212B"/>
          <w:sz w:val="21"/>
        </w:rPr>
        <w:t>模型提示不包含无必要的患者身份、账号口令或与当前任务无关的临床信息。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/>
          <w:color w:val="17212B"/>
          <w:sz w:val="21"/>
        </w:rPr>
        <w:t>版本可追溯。</w:t>
      </w:r>
      <w:r>
        <w:rPr>
          <w:rFonts w:ascii="Microsoft YaHei" w:hAnsi="Microsoft YaHei" w:eastAsia="Microsoft YaHei"/>
          <w:b w:val="0"/>
          <w:color w:val="17212B"/>
          <w:sz w:val="21"/>
        </w:rPr>
        <w:t>解释、交接、反馈和规则发布都关联资料版本和生效日期。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/>
          <w:color w:val="17212B"/>
          <w:sz w:val="21"/>
        </w:rPr>
        <w:t>改动留痕。</w:t>
      </w:r>
      <w:r>
        <w:rPr>
          <w:rFonts w:ascii="Microsoft YaHei" w:hAnsi="Microsoft YaHei" w:eastAsia="Microsoft YaHei"/>
          <w:b w:val="0"/>
          <w:color w:val="17212B"/>
          <w:sz w:val="21"/>
        </w:rPr>
        <w:t>记录建议结果、人工改动前后值与签核人，审计可重建单次处理。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/>
          <w:color w:val="17212B"/>
          <w:sz w:val="21"/>
        </w:rPr>
        <w:t>停止条件。</w:t>
      </w:r>
      <w:r>
        <w:rPr>
          <w:rFonts w:ascii="Microsoft YaHei" w:hAnsi="Microsoft YaHei" w:eastAsia="Microsoft YaHei"/>
          <w:b w:val="0"/>
          <w:color w:val="17212B"/>
          <w:sz w:val="21"/>
        </w:rPr>
        <w:t>出现急症漏转、越权访问、错误覆盖原记录或关键系统不可用时暂停试点并复盘。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本场景评价记录暂按 90 天保留，由医疗质控专员复核删除或归档；真实期限仍需以组织制度和适用法规为准。删除不应破坏已经形成的必要审计证据。</w:t>
      </w:r>
    </w:p>
    <w:p>
      <w:r>
        <w:br w:type="page"/>
      </w:r>
    </w:p>
    <w:p>
      <w:pPr>
        <w:pStyle w:val="Heading1"/>
      </w:pPr>
      <w:r>
        <w:t>试点与验收设计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试点分为四步。第一步确认字段与口径，第二步做历史回放，第三步在两个常规门诊并行运行，第四步按预先确认的分母和周期验收。未完成前两步，不应直接用生成式界面面向患者。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528"/>
        <w:gridCol w:w="2448"/>
        <w:gridCol w:w="1944"/>
      </w:tblGrid>
      <w:tr>
        <w:trPr>
          <w:tblHeader w:val="true"/>
          <w:cantSplit/>
        </w:trPr>
        <w:tc>
          <w:tcPr>
            <w:tcW w:type="dxa" w:w="144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2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主要产出</w:t>
            </w:r>
          </w:p>
        </w:tc>
        <w:tc>
          <w:tcPr>
            <w:tcW w:type="dxa" w:w="244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194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停止或回退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口径确认</w:t>
            </w:r>
          </w:p>
        </w:tc>
        <w:tc>
          <w:tcPr>
            <w:tcW w:type="dxa" w:w="352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等待定义、排除规则、统计周期、责任人</w:t>
            </w:r>
          </w:p>
        </w:tc>
        <w:tc>
          <w:tcPr>
            <w:tcW w:type="dxa" w:w="24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运营书面确认，质控复核</w:t>
            </w:r>
          </w:p>
        </w:tc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未确认则不计算收益</w:t>
            </w:r>
          </w:p>
        </w:tc>
      </w:tr>
      <w:tr>
        <w:trPr>
          <w:cantSplit/>
        </w:trPr>
        <w:tc>
          <w:tcPr>
            <w:tcW w:type="dxa" w:w="144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历史回放</w:t>
            </w:r>
          </w:p>
        </w:tc>
        <w:tc>
          <w:tcPr>
            <w:tcW w:type="dxa" w:w="352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事件时间轴、异常样本、解释对照</w:t>
            </w:r>
          </w:p>
        </w:tc>
        <w:tc>
          <w:tcPr>
            <w:tcW w:type="dxa" w:w="244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关键处理可重建，歧义有修复记录</w:t>
            </w:r>
          </w:p>
        </w:tc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字段不足则扩大人工修复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并行试点</w:t>
            </w:r>
          </w:p>
        </w:tc>
        <w:tc>
          <w:tcPr>
            <w:tcW w:type="dxa" w:w="352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两个门诊的状态面板、草稿与确认记录</w:t>
            </w:r>
          </w:p>
        </w:tc>
        <w:tc>
          <w:tcPr>
            <w:tcW w:type="dxa" w:w="24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急症提示全部转人工，无自动改序</w:t>
            </w:r>
          </w:p>
        </w:tc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触发停止条件即暂停</w:t>
            </w:r>
          </w:p>
        </w:tc>
      </w:tr>
      <w:tr>
        <w:trPr>
          <w:cantSplit/>
        </w:trPr>
        <w:tc>
          <w:tcPr>
            <w:tcW w:type="dxa" w:w="144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验收评估</w:t>
            </w:r>
          </w:p>
        </w:tc>
        <w:tc>
          <w:tcPr>
            <w:tcW w:type="dxa" w:w="352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固定分母下的等待、爽约、咨询和风险指标</w:t>
            </w:r>
          </w:p>
        </w:tc>
        <w:tc>
          <w:tcPr>
            <w:tcW w:type="dxa" w:w="244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等待时间下降至少 20%，风险指标通过</w:t>
            </w:r>
          </w:p>
        </w:tc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未达条件不扩大范围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验收报告应同时说明样本量、排除规则、缺失数据、人工复核成本和误判案例。不能只看平均等待时间，还要检查中位数、长尾等待、急症处理、迟到加号与投诉变化。</w:t>
      </w:r>
    </w:p>
    <w:p>
      <w:pPr>
        <w:pStyle w:val="Heading1"/>
      </w:pPr>
      <w:r>
        <w:t>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296"/>
        <w:gridCol w:w="3816"/>
        <w:gridCol w:w="2520"/>
      </w:tblGrid>
      <w:tr>
        <w:trPr>
          <w:tblHeader w:val="true"/>
          <w:cantSplit/>
        </w:trPr>
        <w:tc>
          <w:tcPr>
            <w:tcW w:type="dxa" w:w="165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29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381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52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诊断与口径</w:t>
            </w:r>
          </w:p>
        </w:tc>
        <w:tc>
          <w:tcPr>
            <w:tcW w:type="dxa" w:w="129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第 1-2 周</w:t>
            </w:r>
          </w:p>
        </w:tc>
        <w:tc>
          <w:tcPr>
            <w:tcW w:type="dxa" w:w="381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字段盘点、流程观察、等待定义、授权确认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口径说明、接口清单、试点方案</w:t>
            </w:r>
          </w:p>
        </w:tc>
      </w:tr>
      <w:tr>
        <w:trPr>
          <w:cantSplit/>
        </w:trPr>
        <w:tc>
          <w:tcPr>
            <w:tcW w:type="dxa" w:w="165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只读集成</w:t>
            </w:r>
          </w:p>
        </w:tc>
        <w:tc>
          <w:tcPr>
            <w:tcW w:type="dxa" w:w="129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第 2-4 周</w:t>
            </w:r>
          </w:p>
        </w:tc>
        <w:tc>
          <w:tcPr>
            <w:tcW w:type="dxa" w:w="381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业务编号、事件时间轴、快照与去重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接口映射、数据质量报告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解释与异常</w:t>
            </w:r>
          </w:p>
        </w:tc>
        <w:tc>
          <w:tcPr>
            <w:tcW w:type="dxa" w:w="129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第 3-6 周</w:t>
            </w:r>
          </w:p>
        </w:tc>
        <w:tc>
          <w:tcPr>
            <w:tcW w:type="dxa" w:w="381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草稿生成、异常检测、来源与版本展示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可回放原型、人工确认界面</w:t>
            </w:r>
          </w:p>
        </w:tc>
      </w:tr>
      <w:tr>
        <w:trPr>
          <w:cantSplit/>
        </w:trPr>
        <w:tc>
          <w:tcPr>
            <w:tcW w:type="dxa" w:w="165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人工闸门与审计</w:t>
            </w:r>
          </w:p>
        </w:tc>
        <w:tc>
          <w:tcPr>
            <w:tcW w:type="dxa" w:w="129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第 5-7 周</w:t>
            </w:r>
          </w:p>
        </w:tc>
        <w:tc>
          <w:tcPr>
            <w:tcW w:type="dxa" w:w="381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急症转人工、交接确认、权限与留痕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审计样本、停止条件配置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历史回放与培训</w:t>
            </w:r>
          </w:p>
        </w:tc>
        <w:tc>
          <w:tcPr>
            <w:tcW w:type="dxa" w:w="129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第 6-8 周</w:t>
            </w:r>
          </w:p>
        </w:tc>
        <w:tc>
          <w:tcPr>
            <w:tcW w:type="dxa" w:w="381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历史样本复现、角色培训、问题修复</w:t>
            </w:r>
          </w:p>
        </w:tc>
        <w:tc>
          <w:tcPr>
            <w:tcW w:type="dxa" w:w="252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回放报告、培训记录</w:t>
            </w:r>
          </w:p>
        </w:tc>
      </w:tr>
      <w:tr>
        <w:trPr>
          <w:cantSplit/>
        </w:trPr>
        <w:tc>
          <w:tcPr>
            <w:tcW w:type="dxa" w:w="165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并行试点与验收</w:t>
            </w:r>
          </w:p>
        </w:tc>
        <w:tc>
          <w:tcPr>
            <w:tcW w:type="dxa" w:w="129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第 8-10 周</w:t>
            </w:r>
          </w:p>
        </w:tc>
        <w:tc>
          <w:tcPr>
            <w:tcW w:type="dxa" w:w="381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两个常规门诊并行、指标复盘、接受评审</w:t>
            </w:r>
          </w:p>
        </w:tc>
        <w:tc>
          <w:tcPr>
            <w:tcW w:type="dxa" w:w="252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验收报告、扩展建议</w:t>
            </w:r>
          </w:p>
        </w:tc>
      </w:tr>
    </w:tbl>
    <w:p>
      <w:pPr>
        <w:spacing w:after="0"/>
      </w:pPr>
    </w:p>
    <w:p>
      <w:pPr>
        <w:pStyle w:val="Heading1"/>
      </w:pPr>
      <w:r>
        <w:t>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448"/>
        <w:gridCol w:w="3168"/>
        <w:gridCol w:w="1944"/>
      </w:tblGrid>
      <w:tr>
        <w:trPr>
          <w:tblHeader w:val="true"/>
          <w:cantSplit/>
        </w:trPr>
        <w:tc>
          <w:tcPr>
            <w:tcW w:type="dxa" w:w="172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44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早期信号</w:t>
            </w:r>
          </w:p>
        </w:tc>
        <w:tc>
          <w:tcPr>
            <w:tcW w:type="dxa" w:w="3168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应对措施</w:t>
            </w:r>
          </w:p>
        </w:tc>
        <w:tc>
          <w:tcPr>
            <w:tcW w:type="dxa" w:w="1944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等待口径仍不统一</w:t>
            </w:r>
          </w:p>
        </w:tc>
        <w:tc>
          <w:tcPr>
            <w:tcW w:type="dxa" w:w="24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同一业务出现多个分母</w:t>
            </w:r>
          </w:p>
        </w:tc>
        <w:tc>
          <w:tcPr>
            <w:tcW w:type="dxa" w:w="316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冻结验收口径后再出数</w:t>
            </w:r>
          </w:p>
        </w:tc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门诊运营主任</w:t>
            </w:r>
          </w:p>
        </w:tc>
      </w:tr>
      <w:tr>
        <w:trPr>
          <w:cantSplit/>
        </w:trPr>
        <w:tc>
          <w:tcPr>
            <w:tcW w:type="dxa" w:w="172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接口数据不完整</w:t>
            </w:r>
          </w:p>
        </w:tc>
        <w:tc>
          <w:tcPr>
            <w:tcW w:type="dxa" w:w="244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时间缺失、状态冲突、版本不一致</w:t>
            </w:r>
          </w:p>
        </w:tc>
        <w:tc>
          <w:tcPr>
            <w:tcW w:type="dxa" w:w="316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人工修复队列与字段质量门槛</w:t>
            </w:r>
          </w:p>
        </w:tc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系统工程师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解释被误当承诺</w:t>
            </w:r>
          </w:p>
        </w:tc>
        <w:tc>
          <w:tcPr>
            <w:tcW w:type="dxa" w:w="24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患者引用过期时间要求兑现</w:t>
            </w:r>
          </w:p>
        </w:tc>
        <w:tc>
          <w:tcPr>
            <w:tcW w:type="dxa" w:w="316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显示更新时间与暂未更新状态</w:t>
            </w:r>
          </w:p>
        </w:tc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患者服务主管</w:t>
            </w:r>
          </w:p>
        </w:tc>
      </w:tr>
      <w:tr>
        <w:trPr>
          <w:cantSplit/>
        </w:trPr>
        <w:tc>
          <w:tcPr>
            <w:tcW w:type="dxa" w:w="172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AI 越权或错误覆盖</w:t>
            </w:r>
          </w:p>
        </w:tc>
        <w:tc>
          <w:tcPr>
            <w:tcW w:type="dxa" w:w="244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建议改变业务状态但无签核</w:t>
            </w:r>
          </w:p>
        </w:tc>
        <w:tc>
          <w:tcPr>
            <w:tcW w:type="dxa" w:w="316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只读接口与人工确认强制校验</w:t>
            </w:r>
          </w:p>
        </w:tc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医疗质控专员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交接仍未闭环</w:t>
            </w:r>
          </w:p>
        </w:tc>
        <w:tc>
          <w:tcPr>
            <w:tcW w:type="dxa" w:w="24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待办长期无人接手</w:t>
            </w:r>
          </w:p>
        </w:tc>
        <w:tc>
          <w:tcPr>
            <w:tcW w:type="dxa" w:w="316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接手确认与超时升级</w:t>
            </w:r>
          </w:p>
        </w:tc>
        <w:tc>
          <w:tcPr>
            <w:tcW w:type="dxa" w:w="1944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排班管理员</w:t>
            </w:r>
          </w:p>
        </w:tc>
      </w:tr>
      <w:tr>
        <w:trPr>
          <w:cantSplit/>
        </w:trPr>
        <w:tc>
          <w:tcPr>
            <w:tcW w:type="dxa" w:w="172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成本被低估</w:t>
            </w:r>
          </w:p>
        </w:tc>
        <w:tc>
          <w:tcPr>
            <w:tcW w:type="dxa" w:w="244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人工复核与维护未计入</w:t>
            </w:r>
          </w:p>
        </w:tc>
        <w:tc>
          <w:tcPr>
            <w:tcW w:type="dxa" w:w="3168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单独核算复核工时和运维成本</w:t>
            </w:r>
          </w:p>
        </w:tc>
        <w:tc>
          <w:tcPr>
            <w:tcW w:type="dxa" w:w="1944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运营与财务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投资与商务摘要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400"/>
        <w:gridCol w:w="1656"/>
      </w:tblGrid>
      <w:tr>
        <w:trPr>
          <w:tblHeader w:val="true"/>
          <w:cantSplit/>
        </w:trPr>
        <w:tc>
          <w:tcPr>
            <w:tcW w:type="dxa" w:w="2232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5400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656"/>
            <w:shd w:fill="24374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金额（人民币）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诊断与口径</w:t>
            </w:r>
          </w:p>
        </w:tc>
        <w:tc>
          <w:tcPr>
            <w:tcW w:type="dxa" w:w="540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现状诊断、等待定义、试点设计</w:t>
            </w:r>
          </w:p>
        </w:tc>
        <w:tc>
          <w:tcPr>
            <w:tcW w:type="dxa" w:w="165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18,000</w:t>
            </w:r>
          </w:p>
        </w:tc>
      </w:tr>
      <w:tr>
        <w:trPr>
          <w:cantSplit/>
        </w:trPr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只读集成</w:t>
            </w:r>
          </w:p>
        </w:tc>
        <w:tc>
          <w:tcPr>
            <w:tcW w:type="dxa" w:w="540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预约、HIS、叫号状态适配与事件层</w:t>
            </w:r>
          </w:p>
        </w:tc>
        <w:tc>
          <w:tcPr>
            <w:tcW w:type="dxa" w:w="165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42,000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解释辅助</w:t>
            </w:r>
          </w:p>
        </w:tc>
        <w:tc>
          <w:tcPr>
            <w:tcW w:type="dxa" w:w="540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等待与队列信息解释草稿</w:t>
            </w:r>
          </w:p>
        </w:tc>
        <w:tc>
          <w:tcPr>
            <w:tcW w:type="dxa" w:w="165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28,000</w:t>
            </w:r>
          </w:p>
        </w:tc>
      </w:tr>
      <w:tr>
        <w:trPr>
          <w:cantSplit/>
        </w:trPr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异常检测</w:t>
            </w:r>
          </w:p>
        </w:tc>
        <w:tc>
          <w:tcPr>
            <w:tcW w:type="dxa" w:w="540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排班通知、迟到与加号异常提示</w:t>
            </w:r>
          </w:p>
        </w:tc>
        <w:tc>
          <w:tcPr>
            <w:tcW w:type="dxa" w:w="165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22,000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人工闸门与审计</w:t>
            </w:r>
          </w:p>
        </w:tc>
        <w:tc>
          <w:tcPr>
            <w:tcW w:type="dxa" w:w="540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急症转人工、权限、版本与留痕</w:t>
            </w:r>
          </w:p>
        </w:tc>
        <w:tc>
          <w:tcPr>
            <w:tcW w:type="dxa" w:w="165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20,000</w:t>
            </w:r>
          </w:p>
        </w:tc>
      </w:tr>
      <w:tr>
        <w:trPr>
          <w:cantSplit/>
        </w:trPr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验证与培训</w:t>
            </w:r>
          </w:p>
        </w:tc>
        <w:tc>
          <w:tcPr>
            <w:tcW w:type="dxa" w:w="540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历史回放、两个门诊试点、培训</w:t>
            </w:r>
          </w:p>
        </w:tc>
        <w:tc>
          <w:tcPr>
            <w:tcW w:type="dxa" w:w="165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18,000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项目管理</w:t>
            </w:r>
          </w:p>
        </w:tc>
        <w:tc>
          <w:tcPr>
            <w:tcW w:type="dxa" w:w="5400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计划、协调、验收材料</w:t>
            </w:r>
          </w:p>
        </w:tc>
        <w:tc>
          <w:tcPr>
            <w:tcW w:type="dxa" w:w="1656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12,000</w:t>
            </w:r>
          </w:p>
        </w:tc>
      </w:tr>
      <w:tr>
        <w:trPr>
          <w:cantSplit/>
        </w:trPr>
        <w:tc>
          <w:tcPr>
            <w:tcW w:type="dxa" w:w="2232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212B"/>
                <w:sz w:val="18"/>
              </w:rPr>
              <w:t>合计</w:t>
            </w:r>
          </w:p>
        </w:tc>
        <w:tc>
          <w:tcPr>
            <w:tcW w:type="dxa" w:w="5400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含税，8-10 周实施</w:t>
            </w:r>
          </w:p>
        </w:tc>
        <w:tc>
          <w:tcPr>
            <w:tcW w:type="dxa" w:w="1656"/>
            <w:shd w:fill="F6F8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12B"/>
                <w:sz w:val="18"/>
              </w:rPr>
              <w:t>160,000</w:t>
            </w:r>
          </w:p>
        </w:tc>
      </w:tr>
    </w:tbl>
    <w:p>
      <w:pPr>
        <w:spacing w:after="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17212B"/>
          <w:sz w:val="22"/>
        </w:rPr>
        <w:t>付款建议为启动 40%、试点上线 40%、验收 20%。首期不包含硬件、云与模型调用、人工复核人力、第三方接口改造和额外诊区扩展。运维与规则调优可选报价为每月 8,000 元起。</w:t>
      </w:r>
    </w:p>
    <w:p>
      <w:pPr>
        <w:pStyle w:val="Heading1"/>
      </w:pPr>
      <w:r>
        <w:t>决策事项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01  </w:t>
      </w:r>
      <w:r>
        <w:rPr>
          <w:rFonts w:ascii="Microsoft YaHei" w:hAnsi="Microsoft YaHei" w:eastAsia="Microsoft YaHei"/>
          <w:b w:val="0"/>
          <w:color w:val="17212B"/>
          <w:sz w:val="21"/>
        </w:rPr>
        <w:t>确认试点等待口径、分母、排除规则和统计周期。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02  </w:t>
      </w:r>
      <w:r>
        <w:rPr>
          <w:rFonts w:ascii="Microsoft YaHei" w:hAnsi="Microsoft YaHei" w:eastAsia="Microsoft YaHei"/>
          <w:b w:val="0"/>
          <w:color w:val="17212B"/>
          <w:sz w:val="21"/>
        </w:rPr>
        <w:t>确认迟到与现场加号的人工确认人、签核范围和升级时限。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03  </w:t>
      </w:r>
      <w:r>
        <w:rPr>
          <w:rFonts w:ascii="Microsoft YaHei" w:hAnsi="Microsoft YaHei" w:eastAsia="Microsoft YaHei"/>
          <w:b w:val="0"/>
          <w:color w:val="17212B"/>
          <w:sz w:val="21"/>
        </w:rPr>
        <w:t>确认排班同步延迟时暂停通知的触发条件。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04  </w:t>
      </w:r>
      <w:r>
        <w:rPr>
          <w:rFonts w:ascii="Microsoft YaHei" w:hAnsi="Microsoft YaHei" w:eastAsia="Microsoft YaHei"/>
          <w:b w:val="0"/>
          <w:color w:val="17212B"/>
          <w:sz w:val="21"/>
        </w:rPr>
        <w:t>确认两个常规门诊的具体诊区、试点周期和数据责任人。</w:t>
      </w:r>
    </w:p>
    <w:p>
      <w:pPr>
        <w:spacing w:after="100"/>
        <w:ind w:left="403" w:hanging="403"/>
      </w:pPr>
      <w:r>
        <w:rPr>
          <w:rFonts w:ascii="Microsoft YaHei" w:hAnsi="Microsoft YaHei" w:eastAsia="Microsoft YaHei"/>
          <w:b/>
          <w:color w:val="0F766E"/>
          <w:sz w:val="21"/>
        </w:rPr>
        <w:t xml:space="preserve">05  </w:t>
      </w:r>
      <w:r>
        <w:rPr>
          <w:rFonts w:ascii="Microsoft YaHei" w:hAnsi="Microsoft YaHei" w:eastAsia="Microsoft YaHei"/>
          <w:b w:val="0"/>
          <w:color w:val="17212B"/>
          <w:sz w:val="21"/>
        </w:rPr>
        <w:t>确认授权范围、审计留存期限、停止条件与反馈入口。</w:t>
      </w:r>
    </w:p>
    <w:p>
      <w:pPr>
        <w:pStyle w:val="Heading1"/>
      </w:pPr>
      <w:r>
        <w:t>关联交付物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业务发现：business-discovery.md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行业分析：industry-analysis.docx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流程图：current-state-flowchart.png、target-state-flowchart.png</w:t>
      </w:r>
    </w:p>
    <w:p>
      <w:pPr>
        <w:pStyle w:val="ListBullet"/>
        <w:spacing w:after="80"/>
        <w:ind w:left="317" w:hanging="259"/>
      </w:pPr>
      <w:r>
        <w:rPr>
          <w:rFonts w:ascii="Microsoft YaHei" w:hAnsi="Microsoft YaHei" w:eastAsia="Microsoft YaHei"/>
          <w:b w:val="0"/>
          <w:color w:val="17212B"/>
          <w:sz w:val="21"/>
        </w:rPr>
        <w:t>报价单：quotation.xlsx</w:t>
      </w:r>
    </w:p>
    <w:sectPr w:rsidR="00FC693F" w:rsidRPr="0006063C" w:rsidSect="00034616">
      <w:footerReference w:type="default" r:id="rId9"/>
      <w:pgSz w:w="11906" w:h="16838"/>
      <w:pgMar w:top="1037" w:right="1181" w:bottom="979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B8794"/>
        <w:sz w:val="17"/>
      </w:rPr>
      <w:t xml:space="preserve">门诊预约与分诊协作 · 方案设计  |  </w:t>
    </w:r>
    <w:r>
      <w:rPr>
        <w:rFonts w:ascii="Microsoft YaHei" w:hAnsi="Microsoft YaHei" w:eastAsia="Microsoft YaHei"/>
        <w:b w:val="0"/>
        <w:color w:val="7B8794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