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Noto Sans CJK SC" w:hAnsi="Noto Sans CJK SC" w:eastAsia="Noto Sans CJK SC"/>
          <w:b/>
          <w:color w:val="2F6BFF"/>
          <w:sz w:val="18"/>
        </w:rPr>
        <w:t>分镜整理版</w:t>
        <w:br/>
      </w:r>
      <w:r>
        <w:rPr>
          <w:rFonts w:ascii="Noto Sans CJK SC" w:hAnsi="Noto Sans CJK SC" w:eastAsia="Noto Sans CJK SC"/>
          <w:b/>
          <w:color w:val="172033"/>
          <w:sz w:val="46"/>
        </w:rPr>
        <w:t>安康｜前 30 秒 UI 产品介绍分镜</w:t>
      </w:r>
    </w:p>
    <w:p>
      <w:pPr>
        <w:spacing w:after="280"/>
      </w:pPr>
      <w:r>
        <w:rPr>
          <w:rFonts w:ascii="Noto Sans CJK SC" w:hAnsi="Noto Sans CJK SC" w:eastAsia="Noto Sans CJK SC"/>
          <w:color w:val="596579"/>
          <w:sz w:val="21"/>
        </w:rPr>
        <w:t>结构锁定：父母端四项功能 → 授权数据流转场 → 子女端管理能力 → 引出 Home Twin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F4F7FB"/>
            <w:tcBorders>
              <w:top w:sz="5" w:val="single" w:color="2F6BFF"/>
              <w:left w:sz="10" w:val="single" w:color="2F6BFF"/>
              <w:bottom w:sz="5" w:val="single" w:color="2F6BFF"/>
              <w:right w:sz="5" w:val="single" w:color="2F6BFF"/>
            </w:tcBorders>
            <w:vAlign w:val="center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color w:val="2F6BFF"/>
                <w:sz w:val="19"/>
              </w:rPr>
              <w:t xml:space="preserve">结构原则  </w:t>
            </w:r>
            <w:r>
              <w:rPr>
                <w:rFonts w:ascii="Noto Sans CJK SC" w:hAnsi="Noto Sans CJK SC" w:eastAsia="Noto Sans CJK SC"/>
                <w:color w:val="172033"/>
                <w:sz w:val="19"/>
              </w:rPr>
              <w:t>父母端必须一次讲完整：今日待办、语音对话、我的健康、隐私设置。随后用一次清晰的数据流传输动画进入子女端，再介绍药物建档、档案管理和空间能力。配音只说当前画面正在展示的内容。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638"/>
        <w:gridCol w:w="4535"/>
      </w:tblGrid>
      <w:tr>
        <w:trPr>
          <w:tblHeader w:val="true"/>
        </w:trPr>
        <w:tc>
          <w:tcPr>
            <w:tcW w:type="dxa" w:w="4789"/>
            <w:shd w:fill="2F6BFF"/>
            <w:tcBorders>
              <w:top w:sz="5" w:val="single" w:color="2F6BFF"/>
              <w:left w:sz="5" w:val="single" w:color="2F6BFF"/>
              <w:bottom w:sz="5" w:val="single" w:color="2F6BFF"/>
              <w:right w:sz="5" w:val="single" w:color="2F6BFF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789"/>
            <w:shd w:fill="2F6BFF"/>
            <w:tcBorders>
              <w:top w:sz="5" w:val="single" w:color="2F6BFF"/>
              <w:left w:sz="5" w:val="single" w:color="2F6BFF"/>
              <w:bottom w:sz="5" w:val="single" w:color="2F6BFF"/>
              <w:right w:sz="5" w:val="single" w:color="2F6BFF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展示画面 / 特效</w:t>
            </w:r>
          </w:p>
        </w:tc>
        <w:tc>
          <w:tcPr>
            <w:tcW w:type="dxa" w:w="4789"/>
            <w:shd w:fill="2F6BFF"/>
            <w:tcBorders>
              <w:top w:sz="5" w:val="single" w:color="2F6BFF"/>
              <w:left w:sz="5" w:val="single" w:color="2F6BFF"/>
              <w:bottom w:sz="5" w:val="single" w:color="2F6BFF"/>
              <w:right w:sz="5" w:val="single" w:color="2F6BFF"/>
            </w:tcBorders>
            <w:vAlign w:val="center"/>
          </w:tcPr>
          <w:p>
            <w:pPr>
              <w:spacing w:after="0" w:before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配音</w:t>
            </w:r>
          </w:p>
        </w:tc>
      </w:tr>
      <w:tr>
        <w:tc>
          <w:tcPr>
            <w:tcW w:type="dxa" w:w="1247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0–2s</w:t>
            </w:r>
          </w:p>
        </w:tc>
        <w:tc>
          <w:tcPr>
            <w:tcW w:type="dxa" w:w="9638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安康 Logo 出现，随后父母端主页从背景中展开。暂不展示子女端，建立“先从老人自己使用开始”的章节感。</w:t>
            </w:r>
          </w:p>
        </w:tc>
        <w:tc>
          <w:tcPr>
            <w:tcW w:type="dxa" w:w="4535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“这是安康。”</w:t>
            </w:r>
          </w:p>
        </w:tc>
      </w:tr>
      <w:tr>
        <w:tc>
          <w:tcPr>
            <w:tcW w:type="dxa" w:w="1247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2–3s</w:t>
            </w:r>
          </w:p>
        </w:tc>
        <w:tc>
          <w:tcPr>
            <w:tcW w:type="dxa" w:w="9638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父母端主页顶部快速扫过「今日待办」：服药、复诊、散步。镜头不停留，约 1 秒完成。</w:t>
            </w:r>
          </w:p>
        </w:tc>
        <w:tc>
          <w:tcPr>
            <w:tcW w:type="dxa" w:w="4535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“今天该做什么，一眼就能看到。”</w:t>
            </w:r>
          </w:p>
        </w:tc>
      </w:tr>
      <w:tr>
        <w:tc>
          <w:tcPr>
            <w:tcW w:type="dxa" w:w="1247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3–8s</w:t>
            </w:r>
          </w:p>
        </w:tc>
        <w:tc>
          <w:tcPr>
            <w:tcW w:type="dxa" w:w="9638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镜头顺势下移到大语音按钮。按钮出现呼吸光并进入「语音对话」：先展示“正在听”的声波，再显示康康的回答。建议用“我今天还有什么事？”作为示例，回答突出复诊、散步、吃药等具体事项。</w:t>
            </w:r>
          </w:p>
        </w:tc>
        <w:tc>
          <w:tcPr>
            <w:tcW w:type="dxa" w:w="4535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“更多事情，老人不用找菜单，直接问康康。它能听懂问题，也能把今天的安排、提醒和需要做的事直接说出来。”</w:t>
            </w:r>
          </w:p>
        </w:tc>
      </w:tr>
      <w:tr>
        <w:tc>
          <w:tcPr>
            <w:tcW w:type="dxa" w:w="1247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8–13s</w:t>
            </w:r>
          </w:p>
        </w:tc>
        <w:tc>
          <w:tcPr>
            <w:tcW w:type="dxa" w:w="9638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由语音页中的健康相关问题自然切入「我的健康」。先聚焦“Apple Watch 已连接”，随后镜头连续滑过心率、血压、睡眠、步数，最后停在每日/每周健康报告。不要整页静态展示。</w:t>
            </w:r>
          </w:p>
        </w:tc>
        <w:tc>
          <w:tcPr>
            <w:tcW w:type="dxa" w:w="4535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“在‘我的健康’里，手表和健康设备的数据会自动汇总，心率、血压、睡眠和活动变化，都能在这里看到。”</w:t>
            </w:r>
          </w:p>
        </w:tc>
      </w:tr>
      <w:tr>
        <w:tc>
          <w:tcPr>
            <w:tcW w:type="dxa" w:w="1247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13–17s</w:t>
            </w:r>
          </w:p>
        </w:tc>
        <w:tc>
          <w:tcPr>
            <w:tcW w:type="dxa" w:w="9638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进入「隐私设置」。聚焦健康数据权限、麦克风权限、数据共享管理。部分权限开启、部分关闭。最后让一条信息出现锁图标，表示不会共享。</w:t>
            </w:r>
          </w:p>
        </w:tc>
        <w:tc>
          <w:tcPr>
            <w:tcW w:type="dxa" w:w="4535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“但这些数据不是默认全部交给家属。哪些可以读取、哪些可以共享，老人自己决定。”</w:t>
            </w:r>
          </w:p>
        </w:tc>
      </w:tr>
      <w:tr>
        <w:tc>
          <w:tcPr>
            <w:tcW w:type="dxa" w:w="1247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17–19s</w:t>
            </w:r>
          </w:p>
        </w:tc>
        <w:tc>
          <w:tcPr>
            <w:tcW w:type="dxa" w:w="9638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【端间关键转场】父母端缩到左侧。被允许共享的健康摘要、授权信息化成细蓝色数据流向右移动；带锁的信息留在左侧，不参与传输。右侧子女端主页由数据流逐渐形成。</w:t>
            </w:r>
          </w:p>
        </w:tc>
        <w:tc>
          <w:tcPr>
            <w:tcW w:type="dxa" w:w="4535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不新增完整解释句。上一句“老人自己决定”落完后留约 0.5 秒，让动画自行表达“授权后才传输”。</w:t>
            </w:r>
          </w:p>
        </w:tc>
      </w:tr>
      <w:tr>
        <w:tc>
          <w:tcPr>
            <w:tcW w:type="dxa" w:w="1247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19–22s</w:t>
            </w:r>
          </w:p>
        </w:tc>
        <w:tc>
          <w:tcPr>
            <w:tcW w:type="dxa" w:w="9638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子女端主页出现。先让“父母周报 / 近期动态”短暂可见，随后镜头移到「药物建档」并进入页面，突出药名、服药时间、注意事项和存放位置。</w:t>
            </w:r>
          </w:p>
        </w:tc>
        <w:tc>
          <w:tcPr>
            <w:tcW w:type="dxa" w:w="4535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“子女端看到的是老人允许共享的信息，也可以协助整理药物：吃什么、什么时候吃、放在哪里。”</w:t>
            </w:r>
          </w:p>
        </w:tc>
      </w:tr>
      <w:tr>
        <w:tc>
          <w:tcPr>
            <w:tcW w:type="dxa" w:w="1247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22–25s</w:t>
            </w:r>
          </w:p>
        </w:tc>
        <w:tc>
          <w:tcPr>
            <w:tcW w:type="dxa" w:w="9638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从药物页面进入「档案管理」。体检报告、就诊记录、检验检查、影像资料等分类快速出现，打开一份档案详情后再缩回总览。</w:t>
            </w:r>
          </w:p>
        </w:tc>
        <w:tc>
          <w:tcPr>
            <w:tcW w:type="dxa" w:w="4535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“体检、就诊、检查和影像资料，也统一整理到同一份健康档案里。”</w:t>
            </w:r>
          </w:p>
        </w:tc>
      </w:tr>
      <w:tr>
        <w:tc>
          <w:tcPr>
            <w:tcW w:type="dxa" w:w="1247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25–28s</w:t>
            </w:r>
          </w:p>
        </w:tc>
        <w:tc>
          <w:tcPr>
            <w:tcW w:type="dxa" w:w="9638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回到子女端主页，镜头移动到「空间管理 / 空间胶囊」。进入空间管理页，展示 3D 空间和平面图缩略图，但不要真正进入完整 3D，给后续视觉高潮留空间。</w:t>
            </w:r>
          </w:p>
        </w:tc>
        <w:tc>
          <w:tcPr>
            <w:tcW w:type="dxa" w:w="4535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“除了认识老人，安康还会开始认识老人生活的家。”</w:t>
            </w:r>
          </w:p>
        </w:tc>
      </w:tr>
      <w:tr>
        <w:tc>
          <w:tcPr>
            <w:tcW w:type="dxa" w:w="1247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2F6BFF"/>
                <w:sz w:val="17"/>
              </w:rPr>
              <w:t>28–30s</w:t>
            </w:r>
          </w:p>
        </w:tc>
        <w:tc>
          <w:tcPr>
            <w:tcW w:type="dxa" w:w="9638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镜头继续靠近 3D 空间卡片。UI 背景逐渐显露真实家庭材质，为后续真人家庭与 Home Twin / 3DGS 做无缝转场。</w:t>
            </w:r>
          </w:p>
        </w:tc>
        <w:tc>
          <w:tcPr>
            <w:tcW w:type="dxa" w:w="4535"/>
            <w:shd w:fill="F8FAFD"/>
            <w:tcBorders>
              <w:top w:sz="4" w:val="single" w:color="DCE3EC"/>
              <w:left w:sz="4" w:val="single" w:color="DCE3EC"/>
              <w:bottom w:sz="4" w:val="single" w:color="DCE3EC"/>
              <w:right w:sz="4" w:val="single" w:color="DCE3EC"/>
            </w:tcBorders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color w:val="172033"/>
                <w:sz w:val="16"/>
              </w:rPr>
              <w:t>“因为同一个家，对不同状态的老人，风险并不一样。”</w:t>
            </w:r>
          </w:p>
        </w:tc>
      </w:tr>
    </w:tbl>
    <w:p>
      <w:r>
        <w:br w:type="page"/>
      </w:r>
    </w:p>
    <w:p>
      <w:pPr>
        <w:pStyle w:val="Heading1"/>
      </w:pPr>
      <w:r>
        <w:t>剪辑与声音执行要点</w:t>
      </w:r>
    </w:p>
    <w:p>
      <w:pPr>
        <w:pStyle w:val="ListBullet"/>
        <w:spacing w:after="50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父母端阶段不要穿插子女端页面；四个父母端功能必须在 17 秒前完成。</w:t>
      </w:r>
    </w:p>
    <w:p>
      <w:pPr>
        <w:pStyle w:val="ListBullet"/>
        <w:spacing w:after="50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今日待办只占约 1 秒，重点时间留给语音对话、健康数据和隐私。</w:t>
      </w:r>
    </w:p>
    <w:p>
      <w:pPr>
        <w:pStyle w:val="ListBullet"/>
        <w:spacing w:after="50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17–19 秒的数据流是前 30 秒最重要的结构转场：获授权信息流向子女端，私密信息以锁图标留在父母端。</w:t>
      </w:r>
    </w:p>
    <w:p>
      <w:pPr>
        <w:pStyle w:val="ListBullet"/>
        <w:spacing w:after="50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配音必须跟当前镜头同义：画面展示健康就说健康，展示药物就说药物，禁止用抽象口号替代。</w:t>
      </w:r>
    </w:p>
    <w:p>
      <w:pPr>
        <w:pStyle w:val="ListBullet"/>
        <w:spacing w:after="50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所有 UI 不出现真实手指点击。用光圈、按钮抬升、波纹、自动聚焦和页面连续滑动表现交互。</w:t>
      </w:r>
    </w:p>
    <w:p>
      <w:pPr>
        <w:pStyle w:val="ListBullet"/>
        <w:spacing w:after="50"/>
        <w:ind w:left="312" w:hanging="142"/>
      </w:pPr>
      <w:r>
        <w:rPr>
          <w:rFonts w:ascii="Noto Sans CJK SC" w:hAnsi="Noto Sans CJK SC" w:eastAsia="Noto Sans CJK SC"/>
          <w:color w:val="172033"/>
          <w:sz w:val="20"/>
        </w:rPr>
        <w:t>25–30 秒只为 Home Twin 埋钩子，不提前消耗完整 3DGS 视觉高潮。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596579"/>
        <w:sz w:val="16"/>
      </w:rPr>
      <w:t>复旦 Hackathon A1 · SILVER 银发健康与家庭守护 · 安康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96579"/>
        <w:sz w:val="17"/>
      </w:rPr>
      <w:t>安康 · 前 30 秒 UI 产品介绍分镜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20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Prompt">
    <w:name w:val="Code Prompt"/>
    <w:pPr>
      <w:spacing w:after="40" w:line="276" w:lineRule="auto"/>
    </w:pPr>
    <w:rPr>
      <w:rFonts w:ascii="Noto Sans CJK SC" w:hAnsi="Noto Sans CJK SC" w:eastAsia="Noto Sans CJK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