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98C46" w14:textId="2911261D" w:rsidR="00DC7AA9" w:rsidRDefault="00DC7AA9">
      <w:pPr>
        <w:rPr>
          <w:b/>
          <w:noProof/>
        </w:rPr>
      </w:pPr>
      <w:r>
        <w:rPr>
          <w:b/>
          <w:noProof/>
        </w:rPr>
        <w:drawing>
          <wp:inline distT="0" distB="0" distL="0" distR="0" wp14:anchorId="52D70917" wp14:editId="7BD803A7">
            <wp:extent cx="5939155" cy="33401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3340100"/>
                    </a:xfrm>
                    <a:prstGeom prst="rect">
                      <a:avLst/>
                    </a:prstGeom>
                    <a:noFill/>
                    <a:ln>
                      <a:noFill/>
                    </a:ln>
                  </pic:spPr>
                </pic:pic>
              </a:graphicData>
            </a:graphic>
          </wp:inline>
        </w:drawing>
      </w:r>
    </w:p>
    <w:p w14:paraId="753E792F" w14:textId="448DD178" w:rsidR="004B0EB6" w:rsidRDefault="004B0EB6">
      <w:pPr>
        <w:rPr>
          <w:b/>
        </w:rPr>
      </w:pPr>
      <w:r w:rsidRPr="004B0EB6">
        <w:rPr>
          <w:b/>
        </w:rPr>
        <w:t>Supplemental Figure 1:</w:t>
      </w:r>
      <w:r w:rsidR="000B3CBD" w:rsidRPr="000B3CBD">
        <w:rPr>
          <w:rFonts w:ascii="Helvetica" w:hAnsi="Helvetica"/>
          <w:color w:val="202020"/>
          <w:sz w:val="20"/>
          <w:szCs w:val="20"/>
          <w:shd w:val="clear" w:color="auto" w:fill="FFFFFF"/>
        </w:rPr>
        <w:t xml:space="preserve"> </w:t>
      </w:r>
      <w:r w:rsidR="000B3CBD">
        <w:rPr>
          <w:rFonts w:ascii="Helvetica" w:hAnsi="Helvetica"/>
          <w:color w:val="202020"/>
          <w:sz w:val="20"/>
          <w:szCs w:val="20"/>
          <w:shd w:val="clear" w:color="auto" w:fill="FFFFFF"/>
        </w:rPr>
        <w:t>WGCNA Soft threshold plots (A)</w:t>
      </w:r>
      <w:r w:rsidR="00B724B9">
        <w:rPr>
          <w:rFonts w:ascii="Helvetica" w:hAnsi="Helvetica"/>
          <w:color w:val="202020"/>
          <w:sz w:val="20"/>
          <w:szCs w:val="20"/>
          <w:shd w:val="clear" w:color="auto" w:fill="FFFFFF"/>
        </w:rPr>
        <w:t>,</w:t>
      </w:r>
      <w:r w:rsidR="000B3CBD">
        <w:rPr>
          <w:rFonts w:ascii="Helvetica" w:hAnsi="Helvetica"/>
          <w:color w:val="202020"/>
          <w:sz w:val="20"/>
          <w:szCs w:val="20"/>
          <w:shd w:val="clear" w:color="auto" w:fill="FFFFFF"/>
        </w:rPr>
        <w:t xml:space="preserve"> Dendrograms (B)</w:t>
      </w:r>
      <w:r w:rsidR="00B724B9">
        <w:rPr>
          <w:rFonts w:ascii="Helvetica" w:hAnsi="Helvetica"/>
          <w:color w:val="202020"/>
          <w:sz w:val="20"/>
          <w:szCs w:val="20"/>
          <w:shd w:val="clear" w:color="auto" w:fill="FFFFFF"/>
        </w:rPr>
        <w:t>, and</w:t>
      </w:r>
      <w:r w:rsidR="000B3CBD">
        <w:rPr>
          <w:rFonts w:ascii="Helvetica" w:hAnsi="Helvetica"/>
          <w:color w:val="202020"/>
          <w:sz w:val="20"/>
          <w:szCs w:val="20"/>
          <w:shd w:val="clear" w:color="auto" w:fill="FFFFFF"/>
        </w:rPr>
        <w:t xml:space="preserve"> Module correlation heatmaps (C) for all 23 ovary samples. </w:t>
      </w:r>
    </w:p>
    <w:p w14:paraId="78BC00DF" w14:textId="77777777" w:rsidR="00056D57" w:rsidRDefault="00056D57">
      <w:pPr>
        <w:rPr>
          <w:b/>
        </w:rPr>
      </w:pPr>
    </w:p>
    <w:p w14:paraId="5F7A7481" w14:textId="77777777" w:rsidR="00D2673D" w:rsidRDefault="00D2673D">
      <w:pPr>
        <w:rPr>
          <w:b/>
        </w:rPr>
      </w:pPr>
      <w:r>
        <w:rPr>
          <w:b/>
        </w:rPr>
        <w:br w:type="page"/>
      </w:r>
    </w:p>
    <w:p w14:paraId="77D45EB0" w14:textId="77777777" w:rsidR="00616DB4" w:rsidRDefault="00616DB4">
      <w:pPr>
        <w:rPr>
          <w:b/>
        </w:rPr>
      </w:pPr>
    </w:p>
    <w:p w14:paraId="2941805F" w14:textId="71D220D3" w:rsidR="009C7964" w:rsidRDefault="009C7964" w:rsidP="00616DB4">
      <w:pPr>
        <w:rPr>
          <w:b/>
        </w:rPr>
      </w:pPr>
    </w:p>
    <w:p w14:paraId="50E68EDB" w14:textId="77777777" w:rsidR="009C7964" w:rsidRDefault="009C7964" w:rsidP="00616DB4">
      <w:pPr>
        <w:rPr>
          <w:b/>
        </w:rPr>
      </w:pPr>
    </w:p>
    <w:p w14:paraId="3803594D" w14:textId="77777777" w:rsidR="009C7964" w:rsidRDefault="009C7964" w:rsidP="00616DB4">
      <w:pPr>
        <w:rPr>
          <w:b/>
        </w:rPr>
      </w:pPr>
    </w:p>
    <w:p w14:paraId="7385AE78" w14:textId="72BE83DC" w:rsidR="00D2673D" w:rsidRDefault="00BC023F">
      <w:pPr>
        <w:rPr>
          <w:b/>
        </w:rPr>
      </w:pPr>
      <w:r>
        <w:rPr>
          <w:b/>
          <w:noProof/>
        </w:rPr>
        <w:drawing>
          <wp:inline distT="0" distB="0" distL="0" distR="0" wp14:anchorId="11D57B45" wp14:editId="45E6D2B8">
            <wp:extent cx="5939155" cy="3340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3340100"/>
                    </a:xfrm>
                    <a:prstGeom prst="rect">
                      <a:avLst/>
                    </a:prstGeom>
                    <a:noFill/>
                    <a:ln>
                      <a:noFill/>
                    </a:ln>
                  </pic:spPr>
                </pic:pic>
              </a:graphicData>
            </a:graphic>
          </wp:inline>
        </w:drawing>
      </w:r>
      <w:r w:rsidR="00D2673D" w:rsidRPr="004B0EB6">
        <w:rPr>
          <w:b/>
        </w:rPr>
        <w:t xml:space="preserve">Supplemental Figure </w:t>
      </w:r>
      <w:r w:rsidR="00D2673D">
        <w:rPr>
          <w:b/>
        </w:rPr>
        <w:t>2</w:t>
      </w:r>
      <w:r w:rsidR="00D2673D" w:rsidRPr="004B0EB6">
        <w:rPr>
          <w:b/>
        </w:rPr>
        <w:t>:</w:t>
      </w:r>
      <w:r w:rsidR="00D2673D">
        <w:rPr>
          <w:b/>
        </w:rPr>
        <w:t xml:space="preserve"> </w:t>
      </w:r>
      <w:r w:rsidR="00D2673D">
        <w:rPr>
          <w:rFonts w:ascii="Helvetica" w:hAnsi="Helvetica"/>
          <w:color w:val="202020"/>
          <w:sz w:val="20"/>
          <w:szCs w:val="20"/>
          <w:shd w:val="clear" w:color="auto" w:fill="FFFFFF"/>
        </w:rPr>
        <w:t>WGCNA Soft threshold plots (A)</w:t>
      </w:r>
      <w:r w:rsidR="00243F63">
        <w:rPr>
          <w:rFonts w:ascii="Helvetica" w:hAnsi="Helvetica"/>
          <w:color w:val="202020"/>
          <w:sz w:val="20"/>
          <w:szCs w:val="20"/>
          <w:shd w:val="clear" w:color="auto" w:fill="FFFFFF"/>
        </w:rPr>
        <w:t>,</w:t>
      </w:r>
      <w:r w:rsidR="00D2673D">
        <w:rPr>
          <w:rFonts w:ascii="Helvetica" w:hAnsi="Helvetica"/>
          <w:color w:val="202020"/>
          <w:sz w:val="20"/>
          <w:szCs w:val="20"/>
          <w:shd w:val="clear" w:color="auto" w:fill="FFFFFF"/>
        </w:rPr>
        <w:t xml:space="preserve"> Dendrograms (B)</w:t>
      </w:r>
      <w:r w:rsidR="00243F63">
        <w:rPr>
          <w:rFonts w:ascii="Helvetica" w:hAnsi="Helvetica"/>
          <w:color w:val="202020"/>
          <w:sz w:val="20"/>
          <w:szCs w:val="20"/>
          <w:shd w:val="clear" w:color="auto" w:fill="FFFFFF"/>
        </w:rPr>
        <w:t>, and</w:t>
      </w:r>
      <w:r w:rsidR="00D2673D">
        <w:rPr>
          <w:rFonts w:ascii="Helvetica" w:hAnsi="Helvetica"/>
          <w:color w:val="202020"/>
          <w:sz w:val="20"/>
          <w:szCs w:val="20"/>
          <w:shd w:val="clear" w:color="auto" w:fill="FFFFFF"/>
        </w:rPr>
        <w:t xml:space="preserve"> Module correlation heatmaps (C) for all 23 testis samples. </w:t>
      </w:r>
      <w:r w:rsidR="00D2673D">
        <w:rPr>
          <w:b/>
        </w:rPr>
        <w:br w:type="page"/>
      </w:r>
    </w:p>
    <w:p w14:paraId="6A832714" w14:textId="77777777" w:rsidR="009C7964" w:rsidRDefault="009C7964" w:rsidP="00616DB4">
      <w:pPr>
        <w:rPr>
          <w:b/>
        </w:rPr>
      </w:pPr>
    </w:p>
    <w:p w14:paraId="447F2346" w14:textId="33426BBC" w:rsidR="009C7964" w:rsidRDefault="00DA49A4" w:rsidP="00616DB4">
      <w:pPr>
        <w:rPr>
          <w:b/>
        </w:rPr>
      </w:pPr>
      <w:r w:rsidRPr="00DA49A4">
        <w:rPr>
          <w:b/>
          <w:noProof/>
        </w:rPr>
        <w:drawing>
          <wp:inline distT="0" distB="0" distL="0" distR="0" wp14:anchorId="162BD10F" wp14:editId="70D9FE61">
            <wp:extent cx="5943600" cy="3535045"/>
            <wp:effectExtent l="0" t="0" r="0" b="8255"/>
            <wp:docPr id="7" name="Content Placeholder 3">
              <a:extLst xmlns:a="http://schemas.openxmlformats.org/drawingml/2006/main">
                <a:ext uri="{FF2B5EF4-FFF2-40B4-BE49-F238E27FC236}">
                  <a16:creationId xmlns:a16="http://schemas.microsoft.com/office/drawing/2014/main" id="{89C90D7E-245C-40D6-9896-87A9384B38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9C90D7E-245C-40D6-9896-87A9384B38E1}"/>
                        </a:ext>
                      </a:extLst>
                    </pic:cNvPr>
                    <pic:cNvPicPr>
                      <a:picLocks noGrp="1" noChangeAspect="1"/>
                    </pic:cNvPicPr>
                  </pic:nvPicPr>
                  <pic:blipFill>
                    <a:blip r:embed="rId6"/>
                    <a:stretch>
                      <a:fillRect/>
                    </a:stretch>
                  </pic:blipFill>
                  <pic:spPr>
                    <a:xfrm>
                      <a:off x="0" y="0"/>
                      <a:ext cx="5943600" cy="3535045"/>
                    </a:xfrm>
                    <a:prstGeom prst="rect">
                      <a:avLst/>
                    </a:prstGeom>
                  </pic:spPr>
                </pic:pic>
              </a:graphicData>
            </a:graphic>
          </wp:inline>
        </w:drawing>
      </w:r>
    </w:p>
    <w:p w14:paraId="2D27C797" w14:textId="5D48AEE6" w:rsidR="00616DB4" w:rsidRDefault="009C7964" w:rsidP="00616DB4">
      <w:pPr>
        <w:rPr>
          <w:b/>
        </w:rPr>
      </w:pPr>
      <w:r w:rsidRPr="004B0EB6">
        <w:rPr>
          <w:b/>
        </w:rPr>
        <w:t xml:space="preserve">Supplemental Figure </w:t>
      </w:r>
      <w:r>
        <w:rPr>
          <w:b/>
        </w:rPr>
        <w:t xml:space="preserve">3: </w:t>
      </w:r>
      <w:r w:rsidRPr="000B3CBD">
        <w:t xml:space="preserve">Log normalized </w:t>
      </w:r>
      <w:r w:rsidR="00A83017">
        <w:t>expression levels</w:t>
      </w:r>
      <w:r w:rsidRPr="000B3CBD">
        <w:t xml:space="preserve"> of </w:t>
      </w:r>
      <w:r>
        <w:t>a prior</w:t>
      </w:r>
      <w:r w:rsidR="001D66E8">
        <w:t>i</w:t>
      </w:r>
      <w:r>
        <w:t xml:space="preserve"> </w:t>
      </w:r>
      <w:r w:rsidR="00A83017">
        <w:t xml:space="preserve">selected </w:t>
      </w:r>
      <w:r w:rsidRPr="000B3CBD">
        <w:t xml:space="preserve">genes </w:t>
      </w:r>
      <w:r w:rsidR="000E2D7C">
        <w:t xml:space="preserve">plotted against </w:t>
      </w:r>
      <w:r>
        <w:t xml:space="preserve">serum </w:t>
      </w:r>
      <w:r w:rsidR="001D7FDB">
        <w:t>t</w:t>
      </w:r>
      <w:r>
        <w:t xml:space="preserve">estosterone </w:t>
      </w:r>
      <w:r w:rsidR="000E2D7C">
        <w:t>(</w:t>
      </w:r>
      <w:r>
        <w:t>ng/ml</w:t>
      </w:r>
      <w:r w:rsidR="000E2D7C">
        <w:t>)</w:t>
      </w:r>
      <w:r>
        <w:t xml:space="preserve"> for all male tissues</w:t>
      </w:r>
      <w:r w:rsidR="000E2D7C">
        <w:t>:</w:t>
      </w:r>
      <w:r>
        <w:t xml:space="preserve"> (A) </w:t>
      </w:r>
      <w:r w:rsidRPr="000B3CBD">
        <w:t>arcuate nucleus</w:t>
      </w:r>
      <w:r>
        <w:t xml:space="preserve"> (ARC)</w:t>
      </w:r>
      <w:r w:rsidR="000E2D7C">
        <w:t>,</w:t>
      </w:r>
      <w:r>
        <w:t xml:space="preserve"> (B) ventromedial nucleus (VMN), (C) anterior pituitary (Pituitary) and (D) </w:t>
      </w:r>
      <w:r w:rsidR="00A91263">
        <w:t>testes</w:t>
      </w:r>
      <w:r>
        <w:t xml:space="preserve">. Dots represent individuals with a line of best fit. </w:t>
      </w:r>
      <w:r>
        <w:rPr>
          <w:b/>
        </w:rPr>
        <w:br w:type="page"/>
      </w:r>
    </w:p>
    <w:p w14:paraId="0ACD9A54" w14:textId="6597F175" w:rsidR="00AF0F65" w:rsidRDefault="00AF0F65" w:rsidP="00616DB4">
      <w:pPr>
        <w:rPr>
          <w:b/>
        </w:rPr>
      </w:pPr>
      <w:r>
        <w:rPr>
          <w:rFonts w:ascii="Arial" w:eastAsia="Times New Roman" w:hAnsi="Arial" w:cs="Arial"/>
          <w:noProof/>
          <w:color w:val="222222"/>
          <w:sz w:val="24"/>
          <w:szCs w:val="24"/>
        </w:rPr>
        <w:lastRenderedPageBreak/>
        <w:drawing>
          <wp:inline distT="0" distB="0" distL="0" distR="0" wp14:anchorId="41A5D18D" wp14:editId="1164DDA6">
            <wp:extent cx="5147506" cy="3231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0718" cy="3239809"/>
                    </a:xfrm>
                    <a:prstGeom prst="rect">
                      <a:avLst/>
                    </a:prstGeom>
                    <a:noFill/>
                  </pic:spPr>
                </pic:pic>
              </a:graphicData>
            </a:graphic>
          </wp:inline>
        </w:drawing>
      </w:r>
    </w:p>
    <w:p w14:paraId="73473759" w14:textId="29415BF0" w:rsidR="00AF0F65" w:rsidRDefault="00AF0F65" w:rsidP="00616DB4">
      <w:r>
        <w:rPr>
          <w:b/>
        </w:rPr>
        <w:t xml:space="preserve">Supplemental Figure 4: </w:t>
      </w:r>
      <w:r w:rsidR="00087FAF" w:rsidRPr="00B03A4C">
        <w:t>L</w:t>
      </w:r>
      <w:r w:rsidR="00087FAF" w:rsidRPr="00C96555">
        <w:t xml:space="preserve">og-normalized expression levels of metabolic signaling genes plotted against body weight in grams (g) at P1 (infancy; top panels) and P84 (adulthood; bottom panels) in the arcuate nucleus (ARC) of control (orange) and NMX-exposed (blue) male rats. </w:t>
      </w:r>
      <w:r w:rsidR="00087FAF">
        <w:t xml:space="preserve">Dots </w:t>
      </w:r>
      <w:r w:rsidR="00087FAF" w:rsidRPr="00C96555">
        <w:t>represents an individual animal, and lines indicate the best-fit linear regression for each group.</w:t>
      </w:r>
      <w:r w:rsidR="00087FAF" w:rsidRPr="00087FAF">
        <w:t xml:space="preserve"> Asterisks next to gene names indicate genes that were significantly differentially expressed between groups.</w:t>
      </w:r>
    </w:p>
    <w:p w14:paraId="39F5518C" w14:textId="432EAFB7" w:rsidR="00087FAF" w:rsidRDefault="00087FAF" w:rsidP="00616DB4">
      <w:pPr>
        <w:rPr>
          <w:b/>
        </w:rPr>
      </w:pPr>
    </w:p>
    <w:p w14:paraId="7117D545" w14:textId="77777777" w:rsidR="00BC023F" w:rsidRDefault="00BC023F" w:rsidP="00616DB4">
      <w:pPr>
        <w:rPr>
          <w:b/>
        </w:rPr>
      </w:pPr>
    </w:p>
    <w:p w14:paraId="08986A1C" w14:textId="164AB402" w:rsidR="00087FAF" w:rsidRDefault="00506409" w:rsidP="00616DB4">
      <w:pPr>
        <w:rPr>
          <w:b/>
        </w:rPr>
      </w:pPr>
      <w:r w:rsidRPr="00506409">
        <w:rPr>
          <w:b/>
          <w:noProof/>
        </w:rPr>
        <w:lastRenderedPageBreak/>
        <w:drawing>
          <wp:inline distT="0" distB="0" distL="0" distR="0" wp14:anchorId="4AE87AE8" wp14:editId="213DF1F5">
            <wp:extent cx="5943600" cy="3455670"/>
            <wp:effectExtent l="0" t="0" r="0" b="0"/>
            <wp:docPr id="8" name="Picture 3">
              <a:extLst xmlns:a="http://schemas.openxmlformats.org/drawingml/2006/main">
                <a:ext uri="{FF2B5EF4-FFF2-40B4-BE49-F238E27FC236}">
                  <a16:creationId xmlns:a16="http://schemas.microsoft.com/office/drawing/2014/main" id="{4DF7C377-E4C2-4C87-BB3C-27B64F84D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F7C377-E4C2-4C87-BB3C-27B64F84DAAF}"/>
                        </a:ext>
                      </a:extLst>
                    </pic:cNvPr>
                    <pic:cNvPicPr>
                      <a:picLocks noChangeAspect="1"/>
                    </pic:cNvPicPr>
                  </pic:nvPicPr>
                  <pic:blipFill>
                    <a:blip r:embed="rId8"/>
                    <a:stretch>
                      <a:fillRect/>
                    </a:stretch>
                  </pic:blipFill>
                  <pic:spPr>
                    <a:xfrm>
                      <a:off x="0" y="0"/>
                      <a:ext cx="5943600" cy="3455670"/>
                    </a:xfrm>
                    <a:prstGeom prst="rect">
                      <a:avLst/>
                    </a:prstGeom>
                  </pic:spPr>
                </pic:pic>
              </a:graphicData>
            </a:graphic>
          </wp:inline>
        </w:drawing>
      </w:r>
    </w:p>
    <w:p w14:paraId="4E08FEEA" w14:textId="77777777" w:rsidR="00087FAF" w:rsidRDefault="00087FAF" w:rsidP="00616DB4">
      <w:pPr>
        <w:rPr>
          <w:b/>
        </w:rPr>
      </w:pPr>
    </w:p>
    <w:p w14:paraId="6A20BC7A" w14:textId="6CC6798D" w:rsidR="00616DB4" w:rsidRDefault="00616DB4" w:rsidP="00616DB4">
      <w:r w:rsidRPr="004B0EB6">
        <w:rPr>
          <w:b/>
        </w:rPr>
        <w:t xml:space="preserve">Supplemental Figure </w:t>
      </w:r>
      <w:r w:rsidR="00AF0F65">
        <w:rPr>
          <w:b/>
        </w:rPr>
        <w:t>5</w:t>
      </w:r>
      <w:bookmarkStart w:id="0" w:name="_Hlk204630472"/>
      <w:r>
        <w:rPr>
          <w:b/>
        </w:rPr>
        <w:t xml:space="preserve">: </w:t>
      </w:r>
      <w:r w:rsidR="000B3CBD" w:rsidRPr="000B3CBD">
        <w:t xml:space="preserve">Log normalized counts of </w:t>
      </w:r>
      <w:r w:rsidR="000B3CBD" w:rsidRPr="003A1A10">
        <w:rPr>
          <w:i/>
          <w:iCs/>
        </w:rPr>
        <w:t>a prior</w:t>
      </w:r>
      <w:r w:rsidR="003A1A10" w:rsidRPr="003A1A10">
        <w:rPr>
          <w:i/>
          <w:iCs/>
        </w:rPr>
        <w:t>i</w:t>
      </w:r>
      <w:r w:rsidR="000B3CBD">
        <w:t xml:space="preserve"> </w:t>
      </w:r>
      <w:r w:rsidR="003A1A10">
        <w:t xml:space="preserve">selected </w:t>
      </w:r>
      <w:r w:rsidR="000B3CBD" w:rsidRPr="000B3CBD">
        <w:t xml:space="preserve">genes related to </w:t>
      </w:r>
      <w:r w:rsidR="000B3CBD">
        <w:t xml:space="preserve">estrogen </w:t>
      </w:r>
      <w:r w:rsidR="000B3CBD" w:rsidRPr="000B3CBD">
        <w:t xml:space="preserve">signaling </w:t>
      </w:r>
      <w:r w:rsidR="003A1A10">
        <w:t xml:space="preserve">plotted against </w:t>
      </w:r>
      <w:r w:rsidR="000B3CBD">
        <w:t xml:space="preserve">serum estradiol </w:t>
      </w:r>
      <w:proofErr w:type="spellStart"/>
      <w:r w:rsidR="000B3CBD">
        <w:t>pg</w:t>
      </w:r>
      <w:proofErr w:type="spellEnd"/>
      <w:r w:rsidR="000B3CBD">
        <w:t>/ml for all female tissues</w:t>
      </w:r>
      <w:r w:rsidR="003A1A10">
        <w:t>:</w:t>
      </w:r>
      <w:r w:rsidR="000B3CBD">
        <w:t xml:space="preserve"> (A) </w:t>
      </w:r>
      <w:r w:rsidR="000B3CBD" w:rsidRPr="000B3CBD">
        <w:t>arcuate nucleus</w:t>
      </w:r>
      <w:r w:rsidR="000B3CBD">
        <w:t xml:space="preserve"> (ARC) and (B) ventromedial nucleus (VMN) of the hypothalamus, (C) anterior pituitary (P</w:t>
      </w:r>
      <w:r w:rsidR="009C7964">
        <w:t>ituitary</w:t>
      </w:r>
      <w:r w:rsidR="000B3CBD">
        <w:t>)</w:t>
      </w:r>
      <w:r w:rsidR="008C0259">
        <w:t>,</w:t>
      </w:r>
      <w:r w:rsidR="000B3CBD">
        <w:t xml:space="preserve"> and (D) ovary. Dots </w:t>
      </w:r>
      <w:r w:rsidR="00DA33A2">
        <w:t xml:space="preserve">represent individuals </w:t>
      </w:r>
      <w:r w:rsidR="00E66BCD">
        <w:t xml:space="preserve">with a line of best fit. </w:t>
      </w:r>
    </w:p>
    <w:p w14:paraId="06593ECE" w14:textId="746128E7" w:rsidR="00087FAF" w:rsidRDefault="00087FAF" w:rsidP="00616DB4">
      <w:pPr>
        <w:rPr>
          <w:b/>
        </w:rPr>
      </w:pPr>
    </w:p>
    <w:p w14:paraId="4E6B1C74" w14:textId="26B29BFB" w:rsidR="00087FAF" w:rsidRDefault="00087FAF" w:rsidP="00616DB4">
      <w:pPr>
        <w:rPr>
          <w:b/>
        </w:rPr>
      </w:pPr>
    </w:p>
    <w:p w14:paraId="2D16C0A1" w14:textId="13CF3B1F" w:rsidR="00087FAF" w:rsidRDefault="00087FAF" w:rsidP="00616DB4">
      <w:pPr>
        <w:rPr>
          <w:b/>
        </w:rPr>
      </w:pPr>
    </w:p>
    <w:p w14:paraId="101BD108" w14:textId="7081A36F" w:rsidR="00087FAF" w:rsidRDefault="00087FAF" w:rsidP="00616DB4">
      <w:pPr>
        <w:rPr>
          <w:b/>
        </w:rPr>
      </w:pPr>
    </w:p>
    <w:p w14:paraId="3867BCC1" w14:textId="2C390F6B" w:rsidR="00087FAF" w:rsidRDefault="00087FAF" w:rsidP="00616DB4">
      <w:pPr>
        <w:rPr>
          <w:b/>
        </w:rPr>
      </w:pPr>
    </w:p>
    <w:p w14:paraId="2411392A" w14:textId="59E8BAE6" w:rsidR="00087FAF" w:rsidRDefault="00087FAF" w:rsidP="00616DB4">
      <w:pPr>
        <w:rPr>
          <w:b/>
        </w:rPr>
      </w:pPr>
    </w:p>
    <w:p w14:paraId="5056FAB2" w14:textId="737B03A1" w:rsidR="00087FAF" w:rsidRDefault="00087FAF" w:rsidP="00616DB4">
      <w:pPr>
        <w:rPr>
          <w:b/>
        </w:rPr>
      </w:pPr>
    </w:p>
    <w:p w14:paraId="51473AE9" w14:textId="2D54E68F" w:rsidR="00087FAF" w:rsidRDefault="00087FAF" w:rsidP="00616DB4">
      <w:pPr>
        <w:rPr>
          <w:b/>
        </w:rPr>
      </w:pPr>
    </w:p>
    <w:p w14:paraId="2D1DCA7A" w14:textId="4242EA14" w:rsidR="00087FAF" w:rsidRDefault="00087FAF" w:rsidP="00616DB4">
      <w:pPr>
        <w:rPr>
          <w:b/>
        </w:rPr>
      </w:pPr>
    </w:p>
    <w:p w14:paraId="1C1AD5A3" w14:textId="485EBC53" w:rsidR="00087FAF" w:rsidRDefault="00087FAF" w:rsidP="00616DB4">
      <w:pPr>
        <w:rPr>
          <w:b/>
        </w:rPr>
      </w:pPr>
    </w:p>
    <w:p w14:paraId="756BA2CD" w14:textId="6ACC0C1A" w:rsidR="00087FAF" w:rsidRDefault="00087FAF" w:rsidP="00616DB4">
      <w:pPr>
        <w:rPr>
          <w:b/>
        </w:rPr>
      </w:pPr>
    </w:p>
    <w:p w14:paraId="30F93B0E" w14:textId="36320BE4" w:rsidR="00087FAF" w:rsidRDefault="00087FAF" w:rsidP="00616DB4">
      <w:pPr>
        <w:rPr>
          <w:b/>
        </w:rPr>
      </w:pPr>
    </w:p>
    <w:p w14:paraId="38FEF8F4" w14:textId="77777777" w:rsidR="00087FAF" w:rsidRDefault="00087FAF" w:rsidP="00616DB4">
      <w:pPr>
        <w:rPr>
          <w:b/>
        </w:rPr>
      </w:pPr>
    </w:p>
    <w:bookmarkEnd w:id="0"/>
    <w:p w14:paraId="04EB7F3F" w14:textId="77777777" w:rsidR="00B64FBC" w:rsidRDefault="00B64FBC" w:rsidP="00616DB4">
      <w:pPr>
        <w:rPr>
          <w:b/>
        </w:rPr>
      </w:pPr>
    </w:p>
    <w:p w14:paraId="597D4F14" w14:textId="750288BD" w:rsidR="00616DB4" w:rsidRDefault="0062571C" w:rsidP="00616DB4">
      <w:pPr>
        <w:rPr>
          <w:b/>
        </w:rPr>
      </w:pPr>
      <w:r>
        <w:rPr>
          <w:rFonts w:ascii="Arial" w:eastAsia="Times New Roman" w:hAnsi="Arial" w:cs="Arial"/>
          <w:noProof/>
          <w:color w:val="222222"/>
          <w:sz w:val="24"/>
          <w:szCs w:val="24"/>
        </w:rPr>
        <w:drawing>
          <wp:inline distT="0" distB="0" distL="0" distR="0" wp14:anchorId="7D44BBAF" wp14:editId="50E120AF">
            <wp:extent cx="5408744" cy="18059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7694" cy="1808928"/>
                    </a:xfrm>
                    <a:prstGeom prst="rect">
                      <a:avLst/>
                    </a:prstGeom>
                    <a:noFill/>
                  </pic:spPr>
                </pic:pic>
              </a:graphicData>
            </a:graphic>
          </wp:inline>
        </w:drawing>
      </w:r>
    </w:p>
    <w:p w14:paraId="6C4A6F44" w14:textId="3961CE90" w:rsidR="00A34960" w:rsidRDefault="00A34960" w:rsidP="00616DB4">
      <w:r>
        <w:rPr>
          <w:b/>
        </w:rPr>
        <w:t xml:space="preserve">Supplemental Figure </w:t>
      </w:r>
      <w:r w:rsidR="00C02FE9">
        <w:rPr>
          <w:b/>
        </w:rPr>
        <w:t>6</w:t>
      </w:r>
      <w:r w:rsidR="0062571C">
        <w:rPr>
          <w:b/>
        </w:rPr>
        <w:t xml:space="preserve">: </w:t>
      </w:r>
      <w:r w:rsidR="0062571C" w:rsidRPr="00C96555">
        <w:t xml:space="preserve">Overlapping gene expression </w:t>
      </w:r>
      <w:r w:rsidR="008C0259">
        <w:t>between</w:t>
      </w:r>
      <w:r w:rsidR="0062571C" w:rsidRPr="00C96555">
        <w:t xml:space="preserve"> male and female samples across the A) ARC, B) VMN, and C) pituitary. Y-axis represent female log2fold change and X axis represents male log2fold change. Gr</w:t>
      </w:r>
      <w:r w:rsidR="008C0259">
        <w:t>a</w:t>
      </w:r>
      <w:r w:rsidR="0062571C" w:rsidRPr="00C96555">
        <w:t>y points are significant DEGs in only one sex. Red points are significant DEGs in the same direction in both sexes and blue points are significant DEGs in the opposite direction in both sexes.</w:t>
      </w:r>
    </w:p>
    <w:p w14:paraId="35C45BBD" w14:textId="49003581" w:rsidR="00C02FE9" w:rsidRDefault="00C02FE9" w:rsidP="00616DB4"/>
    <w:p w14:paraId="28117985" w14:textId="416FAD1F" w:rsidR="00C02FE9" w:rsidRDefault="00C02FE9" w:rsidP="00616DB4"/>
    <w:p w14:paraId="6F3214AD" w14:textId="77777777" w:rsidR="00C02FE9" w:rsidRDefault="00C02FE9" w:rsidP="00C02FE9">
      <w:pPr>
        <w:shd w:val="clear" w:color="auto" w:fill="FFFFFF"/>
        <w:spacing w:after="0" w:line="240" w:lineRule="auto"/>
        <w:rPr>
          <w:rFonts w:ascii="Arial" w:eastAsia="Times New Roman" w:hAnsi="Arial" w:cs="Arial"/>
          <w:color w:val="222222"/>
          <w:sz w:val="24"/>
          <w:szCs w:val="24"/>
        </w:rPr>
      </w:pPr>
      <w:r w:rsidRPr="007157A1">
        <w:rPr>
          <w:rFonts w:ascii="Arial" w:eastAsia="Times New Roman" w:hAnsi="Arial" w:cs="Arial"/>
          <w:noProof/>
          <w:color w:val="222222"/>
          <w:sz w:val="24"/>
          <w:szCs w:val="24"/>
        </w:rPr>
        <w:drawing>
          <wp:inline distT="0" distB="0" distL="0" distR="0" wp14:anchorId="22B4CEE5" wp14:editId="0D71FA24">
            <wp:extent cx="5943600" cy="2796540"/>
            <wp:effectExtent l="0" t="0" r="0" b="3810"/>
            <wp:docPr id="4" name="Picture 3">
              <a:extLst xmlns:a="http://schemas.openxmlformats.org/drawingml/2006/main">
                <a:ext uri="{FF2B5EF4-FFF2-40B4-BE49-F238E27FC236}">
                  <a16:creationId xmlns:a16="http://schemas.microsoft.com/office/drawing/2014/main" id="{7CFBDB1F-0237-4419-B230-07BE3F6C4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FBDB1F-0237-4419-B230-07BE3F6C4750}"/>
                        </a:ext>
                      </a:extLst>
                    </pic:cNvPr>
                    <pic:cNvPicPr>
                      <a:picLocks noChangeAspect="1"/>
                    </pic:cNvPicPr>
                  </pic:nvPicPr>
                  <pic:blipFill>
                    <a:blip r:embed="rId10"/>
                    <a:stretch>
                      <a:fillRect/>
                    </a:stretch>
                  </pic:blipFill>
                  <pic:spPr>
                    <a:xfrm>
                      <a:off x="0" y="0"/>
                      <a:ext cx="5943600" cy="2796540"/>
                    </a:xfrm>
                    <a:prstGeom prst="rect">
                      <a:avLst/>
                    </a:prstGeom>
                  </pic:spPr>
                </pic:pic>
              </a:graphicData>
            </a:graphic>
          </wp:inline>
        </w:drawing>
      </w:r>
    </w:p>
    <w:p w14:paraId="6F502210" w14:textId="77777777" w:rsidR="00C02FE9" w:rsidRDefault="00C02FE9" w:rsidP="00C02FE9">
      <w:pPr>
        <w:shd w:val="clear" w:color="auto" w:fill="FFFFFF"/>
        <w:spacing w:after="0" w:line="240" w:lineRule="auto"/>
        <w:rPr>
          <w:rFonts w:ascii="Arial" w:eastAsia="Times New Roman" w:hAnsi="Arial" w:cs="Arial"/>
          <w:color w:val="222222"/>
          <w:sz w:val="24"/>
          <w:szCs w:val="24"/>
        </w:rPr>
      </w:pPr>
    </w:p>
    <w:p w14:paraId="76BB8D4C" w14:textId="3A5DB772" w:rsidR="00616DB4" w:rsidRPr="00BC023F" w:rsidRDefault="00C02FE9" w:rsidP="00BC023F">
      <w:pPr>
        <w:shd w:val="clear" w:color="auto" w:fill="FFFFFF"/>
        <w:spacing w:after="0" w:line="240" w:lineRule="auto"/>
      </w:pPr>
      <w:r w:rsidRPr="00C96555">
        <w:rPr>
          <w:b/>
        </w:rPr>
        <w:t xml:space="preserve">Supplemental Figure </w:t>
      </w:r>
      <w:r>
        <w:rPr>
          <w:b/>
        </w:rPr>
        <w:t>7</w:t>
      </w:r>
      <w:r w:rsidRPr="00C96555">
        <w:rPr>
          <w:b/>
        </w:rPr>
        <w:t>:</w:t>
      </w:r>
      <w:r w:rsidRPr="00C96555">
        <w:t xml:space="preserve"> Log-normalized expression levels of cilia-related genes plotted against hormone preference, measured as time spent nose-touching the hormone stimulus during the mate preference test</w:t>
      </w:r>
      <w:r w:rsidR="004263FF">
        <w:t xml:space="preserve"> (data from Gore et al., 2022)</w:t>
      </w:r>
      <w:r w:rsidRPr="00C96555">
        <w:t>. Gene expression in the ventromedial nucleus (VMN) is shown in the top panels, and expression in the ovary is shown in the bottom panels, for control (orange) and NMX-exposed (blue) male rats. Each point represents an individual animal, and lines represent the best-fit linear regression for each group. Asterisks next to gene names indicate significant differential expression between groups.</w:t>
      </w:r>
      <w:bookmarkStart w:id="1" w:name="_GoBack"/>
      <w:bookmarkEnd w:id="1"/>
    </w:p>
    <w:sectPr w:rsidR="00616DB4" w:rsidRPr="00BC023F">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A875F6A" w16cex:dateUtc="2025-08-03T20:40: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202"/>
    <w:rsid w:val="00056D57"/>
    <w:rsid w:val="00087FAF"/>
    <w:rsid w:val="000B3CBD"/>
    <w:rsid w:val="000E2D7C"/>
    <w:rsid w:val="001D66E8"/>
    <w:rsid w:val="001D7FDB"/>
    <w:rsid w:val="00243F63"/>
    <w:rsid w:val="002D3532"/>
    <w:rsid w:val="003A1A10"/>
    <w:rsid w:val="004263FF"/>
    <w:rsid w:val="00436268"/>
    <w:rsid w:val="004B0EB6"/>
    <w:rsid w:val="00506409"/>
    <w:rsid w:val="00522582"/>
    <w:rsid w:val="005C52B7"/>
    <w:rsid w:val="00616DB4"/>
    <w:rsid w:val="0062571C"/>
    <w:rsid w:val="00752114"/>
    <w:rsid w:val="00847B29"/>
    <w:rsid w:val="008C0259"/>
    <w:rsid w:val="00942C30"/>
    <w:rsid w:val="009C7964"/>
    <w:rsid w:val="00A34960"/>
    <w:rsid w:val="00A83017"/>
    <w:rsid w:val="00A91263"/>
    <w:rsid w:val="00AF0F65"/>
    <w:rsid w:val="00B03A4C"/>
    <w:rsid w:val="00B324FF"/>
    <w:rsid w:val="00B465ED"/>
    <w:rsid w:val="00B64FBC"/>
    <w:rsid w:val="00B657C7"/>
    <w:rsid w:val="00B724B9"/>
    <w:rsid w:val="00BC023F"/>
    <w:rsid w:val="00C02444"/>
    <w:rsid w:val="00C02FE9"/>
    <w:rsid w:val="00C96555"/>
    <w:rsid w:val="00CB570D"/>
    <w:rsid w:val="00D2673D"/>
    <w:rsid w:val="00D26921"/>
    <w:rsid w:val="00D54C43"/>
    <w:rsid w:val="00DA33A2"/>
    <w:rsid w:val="00DA49A4"/>
    <w:rsid w:val="00DC7AA9"/>
    <w:rsid w:val="00E66BCD"/>
    <w:rsid w:val="00F56202"/>
    <w:rsid w:val="00F6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A30B7"/>
  <w15:chartTrackingRefBased/>
  <w15:docId w15:val="{FC6CF866-2ACF-413F-8BA5-614716E1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42C30"/>
    <w:rPr>
      <w:sz w:val="16"/>
      <w:szCs w:val="16"/>
    </w:rPr>
  </w:style>
  <w:style w:type="paragraph" w:styleId="CommentText">
    <w:name w:val="annotation text"/>
    <w:basedOn w:val="Normal"/>
    <w:link w:val="CommentTextChar"/>
    <w:uiPriority w:val="99"/>
    <w:semiHidden/>
    <w:unhideWhenUsed/>
    <w:rsid w:val="00942C30"/>
    <w:pPr>
      <w:spacing w:line="240" w:lineRule="auto"/>
    </w:pPr>
    <w:rPr>
      <w:sz w:val="20"/>
      <w:szCs w:val="20"/>
    </w:rPr>
  </w:style>
  <w:style w:type="character" w:customStyle="1" w:styleId="CommentTextChar">
    <w:name w:val="Comment Text Char"/>
    <w:basedOn w:val="DefaultParagraphFont"/>
    <w:link w:val="CommentText"/>
    <w:uiPriority w:val="99"/>
    <w:semiHidden/>
    <w:rsid w:val="00942C30"/>
    <w:rPr>
      <w:sz w:val="20"/>
      <w:szCs w:val="20"/>
    </w:rPr>
  </w:style>
  <w:style w:type="paragraph" w:styleId="CommentSubject">
    <w:name w:val="annotation subject"/>
    <w:basedOn w:val="CommentText"/>
    <w:next w:val="CommentText"/>
    <w:link w:val="CommentSubjectChar"/>
    <w:uiPriority w:val="99"/>
    <w:semiHidden/>
    <w:unhideWhenUsed/>
    <w:rsid w:val="00942C30"/>
    <w:rPr>
      <w:b/>
      <w:bCs/>
    </w:rPr>
  </w:style>
  <w:style w:type="character" w:customStyle="1" w:styleId="CommentSubjectChar">
    <w:name w:val="Comment Subject Char"/>
    <w:basedOn w:val="CommentTextChar"/>
    <w:link w:val="CommentSubject"/>
    <w:uiPriority w:val="99"/>
    <w:semiHidden/>
    <w:rsid w:val="00942C30"/>
    <w:rPr>
      <w:b/>
      <w:bCs/>
      <w:sz w:val="20"/>
      <w:szCs w:val="20"/>
    </w:rPr>
  </w:style>
  <w:style w:type="paragraph" w:styleId="BalloonText">
    <w:name w:val="Balloon Text"/>
    <w:basedOn w:val="Normal"/>
    <w:link w:val="BalloonTextChar"/>
    <w:uiPriority w:val="99"/>
    <w:semiHidden/>
    <w:unhideWhenUsed/>
    <w:rsid w:val="00942C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C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76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8/08/relationships/commentsExtensible" Target="commentsExtensi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6</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Milewski, Tyler</dc:creator>
  <cp:keywords/>
  <dc:description/>
  <cp:lastModifiedBy>Milewski, Tyler</cp:lastModifiedBy>
  <cp:revision>4</cp:revision>
  <dcterms:created xsi:type="dcterms:W3CDTF">2025-08-04T15:26:00Z</dcterms:created>
  <dcterms:modified xsi:type="dcterms:W3CDTF">2025-08-05T15:13:00Z</dcterms:modified>
</cp:coreProperties>
</file>