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2"/>
        </w:rPr>
        <w:t>Northstar Labs Employee Onboarding Policy</w:t>
      </w:r>
    </w:p>
    <w:p>
      <w:pPr>
        <w:jc w:val="center"/>
      </w:pPr>
      <w:r>
        <w:rPr>
          <w:i/>
          <w:sz w:val="16"/>
        </w:rPr>
        <w:t>Fictional evaluation ground truth | Version 1.0 | New-hire onboarding only</w:t>
      </w:r>
    </w:p>
    <w:tbl>
      <w:tblPr>
        <w:tblStyle w:val="TableGrid"/>
        <w:tblW w:type="auto" w:w="0"/>
        <w:jc w:val="center"/>
        <w:tblLook w:firstColumn="1" w:firstRow="1" w:lastColumn="0" w:lastRow="0" w:noHBand="0" w:noVBand="1" w:val="04A0"/>
      </w:tblPr>
      <w:tblGrid>
        <w:gridCol w:w="3553"/>
        <w:gridCol w:w="3553"/>
        <w:gridCol w:w="3553"/>
      </w:tblGrid>
      <w:tr>
        <w:tc>
          <w:tcPr>
            <w:tcW w:type="dxa" w:w="397"/>
            <w:vAlign w:val="center"/>
            <w:shd w:fill="1F4E78"/>
          </w:tcPr>
          <w:p>
            <w:pPr>
              <w:spacing w:after="0"/>
            </w:pPr>
            <w:r/>
            <w:r>
              <w:rPr>
                <w:b/>
                <w:color w:val="FFFFFF"/>
                <w:sz w:val="16"/>
              </w:rPr>
              <w:t>#</w:t>
            </w:r>
          </w:p>
        </w:tc>
        <w:tc>
          <w:tcPr>
            <w:tcW w:type="dxa" w:w="2381"/>
            <w:vAlign w:val="center"/>
            <w:shd w:fill="1F4E78"/>
          </w:tcPr>
          <w:p>
            <w:pPr>
              <w:spacing w:after="0"/>
            </w:pPr>
            <w:r/>
            <w:r>
              <w:rPr>
                <w:b/>
                <w:color w:val="FFFFFF"/>
                <w:sz w:val="16"/>
              </w:rPr>
              <w:t>Policy area</w:t>
            </w:r>
          </w:p>
        </w:tc>
        <w:tc>
          <w:tcPr>
            <w:tcW w:type="dxa" w:w="7654"/>
            <w:vAlign w:val="center"/>
            <w:shd w:fill="1F4E78"/>
          </w:tcPr>
          <w:p>
            <w:pPr>
              <w:spacing w:after="0"/>
            </w:pPr>
            <w:r/>
            <w:r>
              <w:rPr>
                <w:b/>
                <w:color w:val="FFFFFF"/>
                <w:sz w:val="16"/>
              </w:rPr>
              <w:t>Rule</w:t>
            </w:r>
          </w:p>
        </w:tc>
      </w:tr>
      <w:tr>
        <w:tc>
          <w:tcPr>
            <w:tcW w:type="dxa" w:w="397"/>
            <w:vAlign w:val="center"/>
          </w:tcPr>
          <w:p>
            <w:pPr>
              <w:spacing w:after="0"/>
            </w:pPr>
            <w:r/>
            <w:r>
              <w:rPr>
                <w:b w:val="0"/>
                <w:sz w:val="15"/>
              </w:rPr>
              <w:t>1</w:t>
            </w:r>
          </w:p>
        </w:tc>
        <w:tc>
          <w:tcPr>
            <w:tcW w:type="dxa" w:w="2381"/>
            <w:vAlign w:val="center"/>
          </w:tcPr>
          <w:p>
            <w:pPr>
              <w:spacing w:after="0"/>
            </w:pPr>
            <w:r/>
            <w:r>
              <w:rPr>
                <w:b w:val="0"/>
                <w:sz w:val="15"/>
              </w:rPr>
              <w:t>Day-one orientation</w:t>
            </w:r>
          </w:p>
        </w:tc>
        <w:tc>
          <w:tcPr>
            <w:tcW w:type="dxa" w:w="7654"/>
            <w:vAlign w:val="center"/>
          </w:tcPr>
          <w:p>
            <w:pPr>
              <w:spacing w:after="0"/>
            </w:pPr>
            <w:r/>
            <w:r>
              <w:rPr>
                <w:b w:val="0"/>
                <w:sz w:val="15"/>
              </w:rPr>
              <w:t>Orientation begins at 09:30 local time on the employee's first working day. Office or virtual joining details are sent in the welcome email.</w:t>
            </w:r>
          </w:p>
        </w:tc>
      </w:tr>
      <w:tr>
        <w:tc>
          <w:tcPr>
            <w:tcW w:type="dxa" w:w="397"/>
            <w:vAlign w:val="center"/>
            <w:shd w:fill="F7FAFC"/>
          </w:tcPr>
          <w:p>
            <w:pPr>
              <w:spacing w:after="0"/>
            </w:pPr>
            <w:r/>
            <w:r>
              <w:rPr>
                <w:b w:val="0"/>
                <w:sz w:val="15"/>
              </w:rPr>
              <w:t>2</w:t>
            </w:r>
          </w:p>
        </w:tc>
        <w:tc>
          <w:tcPr>
            <w:tcW w:type="dxa" w:w="2381"/>
            <w:vAlign w:val="center"/>
            <w:shd w:fill="F7FAFC"/>
          </w:tcPr>
          <w:p>
            <w:pPr>
              <w:spacing w:after="0"/>
            </w:pPr>
            <w:r/>
            <w:r>
              <w:rPr>
                <w:b w:val="0"/>
                <w:sz w:val="15"/>
              </w:rPr>
              <w:t>Identity verification</w:t>
            </w:r>
          </w:p>
        </w:tc>
        <w:tc>
          <w:tcPr>
            <w:tcW w:type="dxa" w:w="7654"/>
            <w:vAlign w:val="center"/>
            <w:shd w:fill="F7FAFC"/>
          </w:tcPr>
          <w:p>
            <w:pPr>
              <w:spacing w:after="0"/>
            </w:pPr>
            <w:r/>
            <w:r>
              <w:rPr>
                <w:b w:val="0"/>
                <w:sz w:val="15"/>
              </w:rPr>
              <w:t>A government-issued identity document must be verified by 12:00 on day one.</w:t>
            </w:r>
          </w:p>
        </w:tc>
      </w:tr>
      <w:tr>
        <w:tc>
          <w:tcPr>
            <w:tcW w:type="dxa" w:w="397"/>
            <w:vAlign w:val="center"/>
          </w:tcPr>
          <w:p>
            <w:pPr>
              <w:spacing w:after="0"/>
            </w:pPr>
            <w:r/>
            <w:r>
              <w:rPr>
                <w:b w:val="0"/>
                <w:sz w:val="15"/>
              </w:rPr>
              <w:t>3</w:t>
            </w:r>
          </w:p>
        </w:tc>
        <w:tc>
          <w:tcPr>
            <w:tcW w:type="dxa" w:w="2381"/>
            <w:vAlign w:val="center"/>
          </w:tcPr>
          <w:p>
            <w:pPr>
              <w:spacing w:after="0"/>
            </w:pPr>
            <w:r/>
            <w:r>
              <w:rPr>
                <w:b w:val="0"/>
                <w:sz w:val="15"/>
              </w:rPr>
              <w:t>Laptop delivery and device use</w:t>
            </w:r>
          </w:p>
        </w:tc>
        <w:tc>
          <w:tcPr>
            <w:tcW w:type="dxa" w:w="7654"/>
            <w:vAlign w:val="center"/>
          </w:tcPr>
          <w:p>
            <w:pPr>
              <w:spacing w:after="0"/>
            </w:pPr>
            <w:r/>
            <w:r>
              <w:rPr>
                <w:b w:val="0"/>
                <w:sz w:val="15"/>
              </w:rPr>
              <w:t>Office-based hires collect their company laptop on day one. Remote hires should receive it by courier one business day before joining. Personal devices may not be used for company work unless IT grants a written exception.</w:t>
            </w:r>
          </w:p>
        </w:tc>
      </w:tr>
      <w:tr>
        <w:tc>
          <w:tcPr>
            <w:tcW w:type="dxa" w:w="397"/>
            <w:vAlign w:val="center"/>
            <w:shd w:fill="F7FAFC"/>
          </w:tcPr>
          <w:p>
            <w:pPr>
              <w:spacing w:after="0"/>
            </w:pPr>
            <w:r/>
            <w:r>
              <w:rPr>
                <w:b w:val="0"/>
                <w:sz w:val="15"/>
              </w:rPr>
              <w:t>4</w:t>
            </w:r>
          </w:p>
        </w:tc>
        <w:tc>
          <w:tcPr>
            <w:tcW w:type="dxa" w:w="2381"/>
            <w:vAlign w:val="center"/>
            <w:shd w:fill="F7FAFC"/>
          </w:tcPr>
          <w:p>
            <w:pPr>
              <w:spacing w:after="0"/>
            </w:pPr>
            <w:r/>
            <w:r>
              <w:rPr>
                <w:b w:val="0"/>
                <w:sz w:val="15"/>
              </w:rPr>
              <w:t>Account security setup</w:t>
            </w:r>
          </w:p>
        </w:tc>
        <w:tc>
          <w:tcPr>
            <w:tcW w:type="dxa" w:w="7654"/>
            <w:vAlign w:val="center"/>
            <w:shd w:fill="F7FAFC"/>
          </w:tcPr>
          <w:p>
            <w:pPr>
              <w:spacing w:after="0"/>
            </w:pPr>
            <w:r/>
            <w:r>
              <w:rPr>
                <w:b w:val="0"/>
                <w:sz w:val="15"/>
              </w:rPr>
              <w:t>Multi-factor authentication and the company password manager must be configured by the end of day one.</w:t>
            </w:r>
          </w:p>
        </w:tc>
      </w:tr>
      <w:tr>
        <w:tc>
          <w:tcPr>
            <w:tcW w:type="dxa" w:w="397"/>
            <w:vAlign w:val="center"/>
          </w:tcPr>
          <w:p>
            <w:pPr>
              <w:spacing w:after="0"/>
            </w:pPr>
            <w:r/>
            <w:r>
              <w:rPr>
                <w:b w:val="0"/>
                <w:sz w:val="15"/>
              </w:rPr>
              <w:t>5</w:t>
            </w:r>
          </w:p>
        </w:tc>
        <w:tc>
          <w:tcPr>
            <w:tcW w:type="dxa" w:w="2381"/>
            <w:vAlign w:val="center"/>
          </w:tcPr>
          <w:p>
            <w:pPr>
              <w:spacing w:after="0"/>
            </w:pPr>
            <w:r/>
            <w:r>
              <w:rPr>
                <w:b w:val="0"/>
                <w:sz w:val="15"/>
              </w:rPr>
              <w:t>Security training</w:t>
            </w:r>
          </w:p>
        </w:tc>
        <w:tc>
          <w:tcPr>
            <w:tcW w:type="dxa" w:w="7654"/>
            <w:vAlign w:val="center"/>
          </w:tcPr>
          <w:p>
            <w:pPr>
              <w:spacing w:after="0"/>
            </w:pPr>
            <w:r/>
            <w:r>
              <w:rPr>
                <w:b w:val="0"/>
                <w:sz w:val="15"/>
              </w:rPr>
              <w:t>Security and privacy training must be completed within five business days of joining.</w:t>
            </w:r>
          </w:p>
        </w:tc>
      </w:tr>
      <w:tr>
        <w:tc>
          <w:tcPr>
            <w:tcW w:type="dxa" w:w="397"/>
            <w:vAlign w:val="center"/>
            <w:shd w:fill="F7FAFC"/>
          </w:tcPr>
          <w:p>
            <w:pPr>
              <w:spacing w:after="0"/>
            </w:pPr>
            <w:r/>
            <w:r>
              <w:rPr>
                <w:b w:val="0"/>
                <w:sz w:val="15"/>
              </w:rPr>
              <w:t>6</w:t>
            </w:r>
          </w:p>
        </w:tc>
        <w:tc>
          <w:tcPr>
            <w:tcW w:type="dxa" w:w="2381"/>
            <w:vAlign w:val="center"/>
            <w:shd w:fill="F7FAFC"/>
          </w:tcPr>
          <w:p>
            <w:pPr>
              <w:spacing w:after="0"/>
            </w:pPr>
            <w:r/>
            <w:r>
              <w:rPr>
                <w:b w:val="0"/>
                <w:sz w:val="15"/>
              </w:rPr>
              <w:t>Code of Conduct</w:t>
            </w:r>
          </w:p>
        </w:tc>
        <w:tc>
          <w:tcPr>
            <w:tcW w:type="dxa" w:w="7654"/>
            <w:vAlign w:val="center"/>
            <w:shd w:fill="F7FAFC"/>
          </w:tcPr>
          <w:p>
            <w:pPr>
              <w:spacing w:after="0"/>
            </w:pPr>
            <w:r/>
            <w:r>
              <w:rPr>
                <w:b w:val="0"/>
                <w:sz w:val="15"/>
              </w:rPr>
              <w:t>The Code of Conduct acknowledgement is due within three business days of joining.</w:t>
            </w:r>
          </w:p>
        </w:tc>
      </w:tr>
      <w:tr>
        <w:tc>
          <w:tcPr>
            <w:tcW w:type="dxa" w:w="397"/>
            <w:vAlign w:val="center"/>
          </w:tcPr>
          <w:p>
            <w:pPr>
              <w:spacing w:after="0"/>
            </w:pPr>
            <w:r/>
            <w:r>
              <w:rPr>
                <w:b w:val="0"/>
                <w:sz w:val="15"/>
              </w:rPr>
              <w:t>7</w:t>
            </w:r>
          </w:p>
        </w:tc>
        <w:tc>
          <w:tcPr>
            <w:tcW w:type="dxa" w:w="2381"/>
            <w:vAlign w:val="center"/>
          </w:tcPr>
          <w:p>
            <w:pPr>
              <w:spacing w:after="0"/>
            </w:pPr>
            <w:r/>
            <w:r>
              <w:rPr>
                <w:b w:val="0"/>
                <w:sz w:val="15"/>
              </w:rPr>
              <w:t>Payroll setup</w:t>
            </w:r>
          </w:p>
        </w:tc>
        <w:tc>
          <w:tcPr>
            <w:tcW w:type="dxa" w:w="7654"/>
            <w:vAlign w:val="center"/>
          </w:tcPr>
          <w:p>
            <w:pPr>
              <w:spacing w:after="0"/>
            </w:pPr>
            <w:r/>
            <w:r>
              <w:rPr>
                <w:b w:val="0"/>
                <w:sz w:val="15"/>
              </w:rPr>
              <w:t>Bank and tax details are due by the end of the third business day. Late submission may delay the first salary payment.</w:t>
            </w:r>
          </w:p>
        </w:tc>
      </w:tr>
      <w:tr>
        <w:tc>
          <w:tcPr>
            <w:tcW w:type="dxa" w:w="397"/>
            <w:vAlign w:val="center"/>
            <w:shd w:fill="F7FAFC"/>
          </w:tcPr>
          <w:p>
            <w:pPr>
              <w:spacing w:after="0"/>
            </w:pPr>
            <w:r/>
            <w:r>
              <w:rPr>
                <w:b w:val="0"/>
                <w:sz w:val="15"/>
              </w:rPr>
              <w:t>8</w:t>
            </w:r>
          </w:p>
        </w:tc>
        <w:tc>
          <w:tcPr>
            <w:tcW w:type="dxa" w:w="2381"/>
            <w:vAlign w:val="center"/>
            <w:shd w:fill="F7FAFC"/>
          </w:tcPr>
          <w:p>
            <w:pPr>
              <w:spacing w:after="0"/>
            </w:pPr>
            <w:r/>
            <w:r>
              <w:rPr>
                <w:b w:val="0"/>
                <w:sz w:val="15"/>
              </w:rPr>
              <w:t>Benefits enrollment</w:t>
            </w:r>
          </w:p>
        </w:tc>
        <w:tc>
          <w:tcPr>
            <w:tcW w:type="dxa" w:w="7654"/>
            <w:vAlign w:val="center"/>
            <w:shd w:fill="F7FAFC"/>
          </w:tcPr>
          <w:p>
            <w:pPr>
              <w:spacing w:after="0"/>
            </w:pPr>
            <w:r/>
            <w:r>
              <w:rPr>
                <w:b w:val="0"/>
                <w:sz w:val="15"/>
              </w:rPr>
              <w:t>Benefits enrollment must be completed within ten calendar days of joining. Coverage is not automatically added after a missed deadline; the employee must contact People Ops.</w:t>
            </w:r>
          </w:p>
        </w:tc>
      </w:tr>
      <w:tr>
        <w:tc>
          <w:tcPr>
            <w:tcW w:type="dxa" w:w="397"/>
            <w:vAlign w:val="center"/>
          </w:tcPr>
          <w:p>
            <w:pPr>
              <w:spacing w:after="0"/>
            </w:pPr>
            <w:r/>
            <w:r>
              <w:rPr>
                <w:b w:val="0"/>
                <w:sz w:val="15"/>
              </w:rPr>
              <w:t>9</w:t>
            </w:r>
          </w:p>
        </w:tc>
        <w:tc>
          <w:tcPr>
            <w:tcW w:type="dxa" w:w="2381"/>
            <w:vAlign w:val="center"/>
          </w:tcPr>
          <w:p>
            <w:pPr>
              <w:spacing w:after="0"/>
            </w:pPr>
            <w:r/>
            <w:r>
              <w:rPr>
                <w:b w:val="0"/>
                <w:sz w:val="15"/>
              </w:rPr>
              <w:t>Health insurance start</w:t>
            </w:r>
          </w:p>
        </w:tc>
        <w:tc>
          <w:tcPr>
            <w:tcW w:type="dxa" w:w="7654"/>
            <w:vAlign w:val="center"/>
          </w:tcPr>
          <w:p>
            <w:pPr>
              <w:spacing w:after="0"/>
            </w:pPr>
            <w:r/>
            <w:r>
              <w:rPr>
                <w:b w:val="0"/>
                <w:sz w:val="15"/>
              </w:rPr>
              <w:t>Health insurance begins on the date of joining once enrollment is approved.</w:t>
            </w:r>
          </w:p>
        </w:tc>
      </w:tr>
      <w:tr>
        <w:tc>
          <w:tcPr>
            <w:tcW w:type="dxa" w:w="397"/>
            <w:vAlign w:val="center"/>
            <w:shd w:fill="F7FAFC"/>
          </w:tcPr>
          <w:p>
            <w:pPr>
              <w:spacing w:after="0"/>
            </w:pPr>
            <w:r/>
            <w:r>
              <w:rPr>
                <w:b w:val="0"/>
                <w:sz w:val="15"/>
              </w:rPr>
              <w:t>10</w:t>
            </w:r>
          </w:p>
        </w:tc>
        <w:tc>
          <w:tcPr>
            <w:tcW w:type="dxa" w:w="2381"/>
            <w:vAlign w:val="center"/>
            <w:shd w:fill="F7FAFC"/>
          </w:tcPr>
          <w:p>
            <w:pPr>
              <w:spacing w:after="0"/>
            </w:pPr>
            <w:r/>
            <w:r>
              <w:rPr>
                <w:b w:val="0"/>
                <w:sz w:val="15"/>
              </w:rPr>
              <w:t>Remote-work rule</w:t>
            </w:r>
          </w:p>
        </w:tc>
        <w:tc>
          <w:tcPr>
            <w:tcW w:type="dxa" w:w="7654"/>
            <w:vAlign w:val="center"/>
            <w:shd w:fill="F7FAFC"/>
          </w:tcPr>
          <w:p>
            <w:pPr>
              <w:spacing w:after="0"/>
            </w:pPr>
            <w:r/>
            <w:r>
              <w:rPr>
                <w:b w:val="0"/>
                <w:sz w:val="15"/>
              </w:rPr>
              <w:t>For the first 30 calendar days, new hires work from their assigned office unless both the manager and People Ops approve a written exception. After day 30, employees may work remotely up to two days per week with manager approval.</w:t>
            </w:r>
          </w:p>
        </w:tc>
      </w:tr>
      <w:tr>
        <w:tc>
          <w:tcPr>
            <w:tcW w:type="dxa" w:w="397"/>
            <w:vAlign w:val="center"/>
          </w:tcPr>
          <w:p>
            <w:pPr>
              <w:spacing w:after="0"/>
            </w:pPr>
            <w:r/>
            <w:r>
              <w:rPr>
                <w:b w:val="0"/>
                <w:sz w:val="15"/>
              </w:rPr>
              <w:t>11</w:t>
            </w:r>
          </w:p>
        </w:tc>
        <w:tc>
          <w:tcPr>
            <w:tcW w:type="dxa" w:w="2381"/>
            <w:vAlign w:val="center"/>
          </w:tcPr>
          <w:p>
            <w:pPr>
              <w:spacing w:after="0"/>
            </w:pPr>
            <w:r/>
            <w:r>
              <w:rPr>
                <w:b w:val="0"/>
                <w:sz w:val="15"/>
              </w:rPr>
              <w:t>Working hours</w:t>
            </w:r>
          </w:p>
        </w:tc>
        <w:tc>
          <w:tcPr>
            <w:tcW w:type="dxa" w:w="7654"/>
            <w:vAlign w:val="center"/>
          </w:tcPr>
          <w:p>
            <w:pPr>
              <w:spacing w:after="0"/>
            </w:pPr>
            <w:r/>
            <w:r>
              <w:rPr>
                <w:b w:val="0"/>
                <w:sz w:val="15"/>
              </w:rPr>
              <w:t>Core collaboration hours are 10:00 to 16:00 local time. The standard workday is nine hours including a one-hour meal break.</w:t>
            </w:r>
          </w:p>
        </w:tc>
      </w:tr>
      <w:tr>
        <w:tc>
          <w:tcPr>
            <w:tcW w:type="dxa" w:w="397"/>
            <w:vAlign w:val="center"/>
            <w:shd w:fill="F7FAFC"/>
          </w:tcPr>
          <w:p>
            <w:pPr>
              <w:spacing w:after="0"/>
            </w:pPr>
            <w:r/>
            <w:r>
              <w:rPr>
                <w:b w:val="0"/>
                <w:sz w:val="15"/>
              </w:rPr>
              <w:t>12</w:t>
            </w:r>
          </w:p>
        </w:tc>
        <w:tc>
          <w:tcPr>
            <w:tcW w:type="dxa" w:w="2381"/>
            <w:vAlign w:val="center"/>
            <w:shd w:fill="F7FAFC"/>
          </w:tcPr>
          <w:p>
            <w:pPr>
              <w:spacing w:after="0"/>
            </w:pPr>
            <w:r/>
            <w:r>
              <w:rPr>
                <w:b w:val="0"/>
                <w:sz w:val="15"/>
              </w:rPr>
              <w:t>Leave during first 30 days</w:t>
            </w:r>
          </w:p>
        </w:tc>
        <w:tc>
          <w:tcPr>
            <w:tcW w:type="dxa" w:w="7654"/>
            <w:vAlign w:val="center"/>
            <w:shd w:fill="F7FAFC"/>
          </w:tcPr>
          <w:p>
            <w:pPr>
              <w:spacing w:after="0"/>
            </w:pPr>
            <w:r/>
            <w:r>
              <w:rPr>
                <w:b w:val="0"/>
                <w:sz w:val="15"/>
              </w:rPr>
              <w:t>Planned leave during the first 30 calendar days requires manager approval. Sick and emergency leave follow the normal leave process.</w:t>
            </w:r>
          </w:p>
        </w:tc>
      </w:tr>
      <w:tr>
        <w:tc>
          <w:tcPr>
            <w:tcW w:type="dxa" w:w="397"/>
            <w:vAlign w:val="center"/>
          </w:tcPr>
          <w:p>
            <w:pPr>
              <w:spacing w:after="0"/>
            </w:pPr>
            <w:r/>
            <w:r>
              <w:rPr>
                <w:b w:val="0"/>
                <w:sz w:val="15"/>
              </w:rPr>
              <w:t>13</w:t>
            </w:r>
          </w:p>
        </w:tc>
        <w:tc>
          <w:tcPr>
            <w:tcW w:type="dxa" w:w="2381"/>
            <w:vAlign w:val="center"/>
          </w:tcPr>
          <w:p>
            <w:pPr>
              <w:spacing w:after="0"/>
            </w:pPr>
            <w:r/>
            <w:r>
              <w:rPr>
                <w:b w:val="0"/>
                <w:sz w:val="15"/>
              </w:rPr>
              <w:t>Business expenses</w:t>
            </w:r>
          </w:p>
        </w:tc>
        <w:tc>
          <w:tcPr>
            <w:tcW w:type="dxa" w:w="7654"/>
            <w:vAlign w:val="center"/>
          </w:tcPr>
          <w:p>
            <w:pPr>
              <w:spacing w:after="0"/>
            </w:pPr>
            <w:r/>
            <w:r>
              <w:rPr>
                <w:b w:val="0"/>
                <w:sz w:val="15"/>
              </w:rPr>
              <w:t>Business expenses generally require pre-approval. Itemised receipts are required for claims above INR 500, and claims must be submitted within 15 calendar days.</w:t>
            </w:r>
          </w:p>
        </w:tc>
      </w:tr>
      <w:tr>
        <w:tc>
          <w:tcPr>
            <w:tcW w:type="dxa" w:w="397"/>
            <w:vAlign w:val="center"/>
            <w:shd w:fill="F7FAFC"/>
          </w:tcPr>
          <w:p>
            <w:pPr>
              <w:spacing w:after="0"/>
            </w:pPr>
            <w:r/>
            <w:r>
              <w:rPr>
                <w:b w:val="0"/>
                <w:sz w:val="15"/>
              </w:rPr>
              <w:t>14</w:t>
            </w:r>
          </w:p>
        </w:tc>
        <w:tc>
          <w:tcPr>
            <w:tcW w:type="dxa" w:w="2381"/>
            <w:vAlign w:val="center"/>
            <w:shd w:fill="F7FAFC"/>
          </w:tcPr>
          <w:p>
            <w:pPr>
              <w:spacing w:after="0"/>
            </w:pPr>
            <w:r/>
            <w:r>
              <w:rPr>
                <w:b w:val="0"/>
                <w:sz w:val="15"/>
              </w:rPr>
              <w:t>Local and late-night transport</w:t>
            </w:r>
          </w:p>
        </w:tc>
        <w:tc>
          <w:tcPr>
            <w:tcW w:type="dxa" w:w="7654"/>
            <w:vAlign w:val="center"/>
            <w:shd w:fill="F7FAFC"/>
          </w:tcPr>
          <w:p>
            <w:pPr>
              <w:spacing w:after="0"/>
            </w:pPr>
            <w:r/>
            <w:r>
              <w:rPr>
                <w:b w:val="0"/>
                <w:sz w:val="15"/>
              </w:rPr>
              <w:t>Normal travel to the assigned office is not reimbursable. Late-night transport may be reimbursed only when it is arranged or approved by the employee's manager or People Ops.</w:t>
            </w:r>
          </w:p>
        </w:tc>
      </w:tr>
      <w:tr>
        <w:tc>
          <w:tcPr>
            <w:tcW w:type="dxa" w:w="397"/>
            <w:vAlign w:val="center"/>
          </w:tcPr>
          <w:p>
            <w:pPr>
              <w:spacing w:after="0"/>
            </w:pPr>
            <w:r/>
            <w:r>
              <w:rPr>
                <w:b w:val="0"/>
                <w:sz w:val="15"/>
              </w:rPr>
              <w:t>15</w:t>
            </w:r>
          </w:p>
        </w:tc>
        <w:tc>
          <w:tcPr>
            <w:tcW w:type="dxa" w:w="2381"/>
            <w:vAlign w:val="center"/>
          </w:tcPr>
          <w:p>
            <w:pPr>
              <w:spacing w:after="0"/>
            </w:pPr>
            <w:r/>
            <w:r>
              <w:rPr>
                <w:b w:val="0"/>
                <w:sz w:val="15"/>
              </w:rPr>
              <w:t>Contacts and buddy</w:t>
            </w:r>
          </w:p>
        </w:tc>
        <w:tc>
          <w:tcPr>
            <w:tcW w:type="dxa" w:w="7654"/>
            <w:vAlign w:val="center"/>
          </w:tcPr>
          <w:p>
            <w:pPr>
              <w:spacing w:after="0"/>
            </w:pPr>
            <w:r/>
            <w:r>
              <w:rPr>
                <w:b w:val="0"/>
                <w:sz w:val="15"/>
              </w:rPr>
              <w:t>People Ops assigns an onboarding buddy within two business days. IT support: helpdesk@northstarlabs.test. People Ops: peopleops@northstarlabs.test.</w:t>
            </w:r>
          </w:p>
        </w:tc>
      </w:tr>
    </w:tbl>
    <w:p>
      <w:pPr>
        <w:spacing w:after="0"/>
      </w:pPr>
    </w:p>
    <w:p>
      <w:pPr>
        <w:jc w:val="center"/>
      </w:pPr>
      <w:r>
        <w:rPr>
          <w:b/>
          <w:sz w:val="15"/>
        </w:rPr>
        <w:t>Evaluation rule: information not stated here must be treated as unknown.</w:t>
      </w:r>
    </w:p>
    <w:sectPr w:rsidR="00FC693F" w:rsidRPr="0006063C" w:rsidSect="00034616">
      <w:pgSz w:w="11906" w:h="16838"/>
      <w:pgMar w:top="624" w:right="624" w:bottom="567"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