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Khoa Kinh tế, Luật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05 tháng 02 năm 2023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 tri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