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103E" w14:textId="726E12B2" w:rsidR="00D021F4" w:rsidRPr="000165DC" w:rsidRDefault="00D021F4" w:rsidP="00D021F4">
      <w:pPr>
        <w:rPr>
          <w:rFonts w:ascii="標楷體" w:eastAsia="標楷體" w:hAnsi="標楷體"/>
          <w:b/>
          <w:bCs/>
        </w:rPr>
      </w:pPr>
      <w:r w:rsidRPr="000165DC">
        <w:rPr>
          <w:rFonts w:ascii="標楷體" w:eastAsia="標楷體" w:hAnsi="標楷體" w:hint="eastAsia"/>
          <w:b/>
          <w:bCs/>
        </w:rPr>
        <w:t>題目</w:t>
      </w:r>
      <w:r w:rsidR="002C6C1E" w:rsidRPr="000165DC">
        <w:rPr>
          <w:rFonts w:ascii="標楷體" w:eastAsia="標楷體" w:hAnsi="標楷體" w:hint="eastAsia"/>
          <w:b/>
          <w:bCs/>
        </w:rPr>
        <w:t>3</w:t>
      </w:r>
      <w:r w:rsidRPr="000165DC">
        <w:rPr>
          <w:rFonts w:ascii="標楷體" w:eastAsia="標楷體" w:hAnsi="標楷體" w:hint="eastAsia"/>
          <w:b/>
          <w:bCs/>
        </w:rPr>
        <w:t>:</w:t>
      </w:r>
    </w:p>
    <w:p w14:paraId="65522162" w14:textId="77777777" w:rsidR="002C6C1E" w:rsidRPr="00B402BB" w:rsidRDefault="002C6C1E" w:rsidP="002C6C1E">
      <w:pPr>
        <w:rPr>
          <w:rFonts w:ascii="標楷體" w:eastAsia="標楷體" w:hAnsi="標楷體" w:hint="eastAsia"/>
          <w:b/>
          <w:bCs/>
        </w:rPr>
      </w:pPr>
      <w:r w:rsidRPr="00B402BB">
        <w:rPr>
          <w:rFonts w:ascii="標楷體" w:eastAsia="標楷體" w:hAnsi="標楷體" w:hint="eastAsia"/>
          <w:b/>
          <w:bCs/>
        </w:rPr>
        <w:t xml:space="preserve">請回答下列有關社會保障金市場 </w:t>
      </w:r>
      <w:proofErr w:type="gramStart"/>
      <w:r w:rsidRPr="00B402BB">
        <w:rPr>
          <w:rFonts w:ascii="標楷體" w:eastAsia="標楷體" w:hAnsi="標楷體" w:hint="eastAsia"/>
          <w:b/>
          <w:bCs/>
        </w:rPr>
        <w:t>（</w:t>
      </w:r>
      <w:proofErr w:type="gramEnd"/>
      <w:r w:rsidRPr="00B402BB">
        <w:rPr>
          <w:rFonts w:ascii="標楷體" w:eastAsia="標楷體" w:hAnsi="標楷體" w:hint="eastAsia"/>
          <w:b/>
          <w:bCs/>
        </w:rPr>
        <w:t>或退休金市場；social security market</w:t>
      </w:r>
      <w:proofErr w:type="gramStart"/>
      <w:r w:rsidRPr="00B402BB">
        <w:rPr>
          <w:rFonts w:ascii="標楷體" w:eastAsia="標楷體" w:hAnsi="標楷體" w:hint="eastAsia"/>
          <w:b/>
          <w:bCs/>
        </w:rPr>
        <w:t>）</w:t>
      </w:r>
      <w:proofErr w:type="gramEnd"/>
    </w:p>
    <w:p w14:paraId="1AD7A1F1" w14:textId="77777777" w:rsidR="002C6C1E" w:rsidRPr="00B402BB" w:rsidRDefault="002C6C1E" w:rsidP="002C6C1E">
      <w:pPr>
        <w:rPr>
          <w:rFonts w:ascii="標楷體" w:eastAsia="標楷體" w:hAnsi="標楷體" w:hint="eastAsia"/>
          <w:b/>
          <w:bCs/>
        </w:rPr>
      </w:pPr>
      <w:r w:rsidRPr="00B402BB">
        <w:rPr>
          <w:rFonts w:ascii="標楷體" w:eastAsia="標楷體" w:hAnsi="標楷體" w:hint="eastAsia"/>
          <w:b/>
          <w:bCs/>
        </w:rPr>
        <w:t>問題：</w:t>
      </w:r>
    </w:p>
    <w:p w14:paraId="5D6C5F42" w14:textId="77777777" w:rsidR="002C6C1E" w:rsidRPr="00B402BB" w:rsidRDefault="002C6C1E" w:rsidP="002C6C1E">
      <w:pPr>
        <w:rPr>
          <w:rFonts w:ascii="標楷體" w:eastAsia="標楷體" w:hAnsi="標楷體" w:hint="eastAsia"/>
          <w:b/>
          <w:bCs/>
        </w:rPr>
      </w:pPr>
      <w:r w:rsidRPr="00B402BB">
        <w:rPr>
          <w:rFonts w:ascii="標楷體" w:eastAsia="標楷體" w:hAnsi="標楷體" w:hint="eastAsia"/>
          <w:b/>
          <w:bCs/>
        </w:rPr>
        <w:t>1.在財政學討論的範疇，政府干預經濟體系之社會保障金市場，可以有</w:t>
      </w:r>
    </w:p>
    <w:p w14:paraId="218F5679" w14:textId="77777777" w:rsidR="002C6C1E" w:rsidRPr="00B402BB" w:rsidRDefault="002C6C1E" w:rsidP="002C6C1E">
      <w:pPr>
        <w:rPr>
          <w:rFonts w:ascii="標楷體" w:eastAsia="標楷體" w:hAnsi="標楷體" w:hint="eastAsia"/>
          <w:b/>
          <w:bCs/>
        </w:rPr>
      </w:pPr>
      <w:r w:rsidRPr="00B402BB">
        <w:rPr>
          <w:rFonts w:ascii="標楷體" w:eastAsia="標楷體" w:hAnsi="標楷體" w:hint="eastAsia"/>
          <w:b/>
          <w:bCs/>
        </w:rPr>
        <w:t>那些理論上的論述根據？</w:t>
      </w:r>
      <w:proofErr w:type="gramStart"/>
      <w:r w:rsidRPr="00B402BB">
        <w:rPr>
          <w:rFonts w:ascii="標楷體" w:eastAsia="標楷體" w:hAnsi="標楷體" w:hint="eastAsia"/>
          <w:b/>
          <w:bCs/>
        </w:rPr>
        <w:t>請條列</w:t>
      </w:r>
      <w:proofErr w:type="gramEnd"/>
      <w:r w:rsidRPr="00B402BB">
        <w:rPr>
          <w:rFonts w:ascii="標楷體" w:eastAsia="標楷體" w:hAnsi="標楷體" w:hint="eastAsia"/>
          <w:b/>
          <w:bCs/>
        </w:rPr>
        <w:t>說明之。 （10 分）</w:t>
      </w:r>
    </w:p>
    <w:p w14:paraId="12F51E3A" w14:textId="77777777" w:rsidR="002C6C1E" w:rsidRPr="00B402BB" w:rsidRDefault="002C6C1E" w:rsidP="002C6C1E">
      <w:pPr>
        <w:rPr>
          <w:rFonts w:ascii="標楷體" w:eastAsia="標楷體" w:hAnsi="標楷體" w:hint="eastAsia"/>
          <w:b/>
          <w:bCs/>
        </w:rPr>
      </w:pPr>
      <w:r w:rsidRPr="00B402BB">
        <w:rPr>
          <w:rFonts w:ascii="標楷體" w:eastAsia="標楷體" w:hAnsi="標楷體" w:hint="eastAsia"/>
          <w:b/>
          <w:bCs/>
        </w:rPr>
        <w:t>2.我國現行勞保退休金（勞保老年給付）與新制勞工退休金有何不同？</w:t>
      </w:r>
    </w:p>
    <w:p w14:paraId="6095485F" w14:textId="77777777" w:rsidR="002C6C1E" w:rsidRPr="00B402BB" w:rsidRDefault="002C6C1E" w:rsidP="002C6C1E">
      <w:pPr>
        <w:rPr>
          <w:rFonts w:ascii="標楷體" w:eastAsia="標楷體" w:hAnsi="標楷體" w:hint="eastAsia"/>
          <w:b/>
          <w:bCs/>
        </w:rPr>
      </w:pPr>
      <w:r w:rsidRPr="00B402BB">
        <w:rPr>
          <w:rFonts w:ascii="標楷體" w:eastAsia="標楷體" w:hAnsi="標楷體" w:hint="eastAsia"/>
          <w:b/>
          <w:bCs/>
        </w:rPr>
        <w:t>請就給付制度、退休金之計算方式與目前面臨的財務壓力此三</w:t>
      </w:r>
      <w:proofErr w:type="gramStart"/>
      <w:r w:rsidRPr="00B402BB">
        <w:rPr>
          <w:rFonts w:ascii="標楷體" w:eastAsia="標楷體" w:hAnsi="標楷體" w:hint="eastAsia"/>
          <w:b/>
          <w:bCs/>
        </w:rPr>
        <w:t>個</w:t>
      </w:r>
      <w:proofErr w:type="gramEnd"/>
      <w:r w:rsidRPr="00B402BB">
        <w:rPr>
          <w:rFonts w:ascii="標楷體" w:eastAsia="標楷體" w:hAnsi="標楷體" w:hint="eastAsia"/>
          <w:b/>
          <w:bCs/>
        </w:rPr>
        <w:t>面</w:t>
      </w:r>
    </w:p>
    <w:p w14:paraId="7D13FA73" w14:textId="77777777" w:rsidR="002C6C1E" w:rsidRPr="00B402BB" w:rsidRDefault="002C6C1E" w:rsidP="002C6C1E">
      <w:pPr>
        <w:rPr>
          <w:rFonts w:ascii="標楷體" w:eastAsia="標楷體" w:hAnsi="標楷體"/>
          <w:b/>
          <w:bCs/>
        </w:rPr>
      </w:pPr>
      <w:r w:rsidRPr="00B402BB">
        <w:rPr>
          <w:rFonts w:ascii="標楷體" w:eastAsia="標楷體" w:hAnsi="標楷體" w:hint="eastAsia"/>
          <w:b/>
          <w:bCs/>
        </w:rPr>
        <w:t>向，分析說明之。</w:t>
      </w:r>
    </w:p>
    <w:p w14:paraId="6CF986BC" w14:textId="027C194C" w:rsidR="00D021F4" w:rsidRPr="000165DC" w:rsidRDefault="002C6C1E" w:rsidP="002C6C1E">
      <w:pPr>
        <w:rPr>
          <w:rFonts w:ascii="標楷體" w:eastAsia="標楷體" w:hAnsi="標楷體"/>
          <w:b/>
          <w:bCs/>
          <w:color w:val="FF0000"/>
        </w:rPr>
      </w:pPr>
      <w:r w:rsidRPr="000165DC">
        <w:rPr>
          <w:rFonts w:ascii="標楷體" w:eastAsia="標楷體" w:hAnsi="標楷體" w:hint="eastAsia"/>
        </w:rPr>
        <w:t xml:space="preserve"> </w:t>
      </w:r>
      <w:r w:rsidR="00D021F4" w:rsidRPr="000165DC">
        <w:rPr>
          <w:rFonts w:ascii="標楷體" w:eastAsia="標楷體" w:hAnsi="標楷體" w:hint="eastAsia"/>
          <w:b/>
          <w:bCs/>
          <w:color w:val="FF0000"/>
        </w:rPr>
        <w:t>GPT4o</w:t>
      </w:r>
    </w:p>
    <w:p w14:paraId="5949248E" w14:textId="77777777" w:rsidR="00477C38" w:rsidRPr="00477C38" w:rsidRDefault="00477C38" w:rsidP="00477C38">
      <w:pPr>
        <w:widowControl/>
        <w:spacing w:before="100" w:beforeAutospacing="1" w:after="100" w:afterAutospacing="1" w:line="240" w:lineRule="auto"/>
        <w:outlineLvl w:val="2"/>
        <w:rPr>
          <w:rFonts w:ascii="標楷體" w:eastAsia="標楷體" w:hAnsi="標楷體" w:cs="新細明體"/>
          <w:b/>
          <w:bCs/>
          <w:kern w:val="0"/>
          <w:sz w:val="27"/>
          <w:szCs w:val="27"/>
          <w14:ligatures w14:val="none"/>
        </w:rPr>
      </w:pPr>
      <w:r w:rsidRPr="00477C38">
        <w:rPr>
          <w:rFonts w:ascii="標楷體" w:eastAsia="標楷體" w:hAnsi="標楷體" w:cs="新細明體"/>
          <w:b/>
          <w:bCs/>
          <w:kern w:val="0"/>
          <w:sz w:val="27"/>
          <w:szCs w:val="27"/>
          <w14:ligatures w14:val="none"/>
        </w:rPr>
        <w:t>1. 政府干預社會保障金市場的理論依據：</w:t>
      </w:r>
    </w:p>
    <w:p w14:paraId="660C337A" w14:textId="77777777" w:rsidR="00477C38" w:rsidRPr="00477C38" w:rsidRDefault="00477C38" w:rsidP="00477C38">
      <w:pPr>
        <w:widowControl/>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在財政學的範疇內，政府干預經濟體系的社會保障金市場有以下幾個理論上的論述根據：</w:t>
      </w:r>
    </w:p>
    <w:p w14:paraId="7D1FC2A2"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市場失靈</w:t>
      </w:r>
      <w:r w:rsidRPr="00477C38">
        <w:rPr>
          <w:rFonts w:ascii="標楷體" w:eastAsia="標楷體" w:hAnsi="標楷體" w:cs="新細明體"/>
          <w:kern w:val="0"/>
          <w14:ligatures w14:val="none"/>
        </w:rPr>
        <w:t>：</w:t>
      </w:r>
    </w:p>
    <w:p w14:paraId="467AAF98"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社會保障金市場可能無法有效地分配資源。例如，信息不對稱的情況可能使得私人保險市場無法提供全面而公正的退休保障。</w:t>
      </w:r>
    </w:p>
    <w:p w14:paraId="6BAF460A"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外部性</w:t>
      </w:r>
      <w:r w:rsidRPr="00477C38">
        <w:rPr>
          <w:rFonts w:ascii="標楷體" w:eastAsia="標楷體" w:hAnsi="標楷體" w:cs="新細明體"/>
          <w:kern w:val="0"/>
          <w14:ligatures w14:val="none"/>
        </w:rPr>
        <w:t>：</w:t>
      </w:r>
    </w:p>
    <w:p w14:paraId="3E1ED615"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個人的退休儲蓄行為會產生外部影響。如果有人在退休後沒有足夠的收入來源，社會可能需要用公共資源來支持他們。</w:t>
      </w:r>
    </w:p>
    <w:p w14:paraId="4007C58F"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風險分擔</w:t>
      </w:r>
      <w:r w:rsidRPr="00477C38">
        <w:rPr>
          <w:rFonts w:ascii="標楷體" w:eastAsia="標楷體" w:hAnsi="標楷體" w:cs="新細明體"/>
          <w:kern w:val="0"/>
          <w14:ligatures w14:val="none"/>
        </w:rPr>
        <w:t>：</w:t>
      </w:r>
    </w:p>
    <w:p w14:paraId="0532E84D"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政府通過社會保障系統協助分擔個人拮据或生活不穩定的風險，使風險在整個人口中更平均地分配。</w:t>
      </w:r>
    </w:p>
    <w:p w14:paraId="0D06944A"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公平與收入再分配</w:t>
      </w:r>
      <w:r w:rsidRPr="00477C38">
        <w:rPr>
          <w:rFonts w:ascii="標楷體" w:eastAsia="標楷體" w:hAnsi="標楷體" w:cs="新細明體"/>
          <w:kern w:val="0"/>
          <w14:ligatures w14:val="none"/>
        </w:rPr>
        <w:t>：</w:t>
      </w:r>
    </w:p>
    <w:p w14:paraId="507384D8"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社會保障系統通常涵蓋低收入群體，減少不平等，並促進社會公平。這種制度設計通常基於社會對最低生活水平的共識。</w:t>
      </w:r>
    </w:p>
    <w:p w14:paraId="7ABC2184"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長壽風險管理</w:t>
      </w:r>
      <w:r w:rsidRPr="00477C38">
        <w:rPr>
          <w:rFonts w:ascii="標楷體" w:eastAsia="標楷體" w:hAnsi="標楷體" w:cs="新細明體"/>
          <w:kern w:val="0"/>
          <w14:ligatures w14:val="none"/>
        </w:rPr>
        <w:t>：</w:t>
      </w:r>
    </w:p>
    <w:p w14:paraId="1E5EB6FF"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社會保障系統有助於管理長壽風險，避免個人的儲蓄在過早用盡後無法維持生活。</w:t>
      </w:r>
    </w:p>
    <w:p w14:paraId="329F19CC"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避免道德風險</w:t>
      </w:r>
      <w:r w:rsidRPr="00477C38">
        <w:rPr>
          <w:rFonts w:ascii="標楷體" w:eastAsia="標楷體" w:hAnsi="標楷體" w:cs="新細明體"/>
          <w:kern w:val="0"/>
          <w14:ligatures w14:val="none"/>
        </w:rPr>
        <w:t>：</w:t>
      </w:r>
    </w:p>
    <w:p w14:paraId="1CAD73B0"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政府介入可以設定規則，降低因過度依賴市場解決方案而導致的道德風險。</w:t>
      </w:r>
    </w:p>
    <w:p w14:paraId="453BF2D7"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經濟穩定性</w:t>
      </w:r>
      <w:r w:rsidRPr="00477C38">
        <w:rPr>
          <w:rFonts w:ascii="標楷體" w:eastAsia="標楷體" w:hAnsi="標楷體" w:cs="新細明體"/>
          <w:kern w:val="0"/>
          <w14:ligatures w14:val="none"/>
        </w:rPr>
        <w:t>：</w:t>
      </w:r>
    </w:p>
    <w:p w14:paraId="27DFFC05"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lastRenderedPageBreak/>
        <w:t>通過穩定的退休收入保障，政府可以減少經濟周期波動對消費的影響，從而增強經濟的穩定性。</w:t>
      </w:r>
    </w:p>
    <w:p w14:paraId="56D42475" w14:textId="77777777" w:rsidR="00477C38" w:rsidRPr="00477C38" w:rsidRDefault="00477C38" w:rsidP="00477C3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社會契約理論</w:t>
      </w:r>
      <w:r w:rsidRPr="00477C38">
        <w:rPr>
          <w:rFonts w:ascii="標楷體" w:eastAsia="標楷體" w:hAnsi="標楷體" w:cs="新細明體"/>
          <w:kern w:val="0"/>
          <w14:ligatures w14:val="none"/>
        </w:rPr>
        <w:t>：</w:t>
      </w:r>
    </w:p>
    <w:p w14:paraId="238771C6" w14:textId="77777777" w:rsidR="00477C38" w:rsidRPr="00477C38" w:rsidRDefault="00477C38" w:rsidP="00477C3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社會保障被視為政府與公民間的契約，旨在確保公民在老年或無法工作的時候能獲得基本的生活保障。</w:t>
      </w:r>
    </w:p>
    <w:p w14:paraId="1E248788" w14:textId="77777777" w:rsidR="00477C38" w:rsidRPr="00477C38" w:rsidRDefault="00477C38" w:rsidP="00477C38">
      <w:pPr>
        <w:widowControl/>
        <w:spacing w:before="100" w:beforeAutospacing="1" w:after="100" w:afterAutospacing="1" w:line="240" w:lineRule="auto"/>
        <w:outlineLvl w:val="2"/>
        <w:rPr>
          <w:rFonts w:ascii="標楷體" w:eastAsia="標楷體" w:hAnsi="標楷體" w:cs="新細明體"/>
          <w:b/>
          <w:bCs/>
          <w:kern w:val="0"/>
          <w:sz w:val="27"/>
          <w:szCs w:val="27"/>
          <w14:ligatures w14:val="none"/>
        </w:rPr>
      </w:pPr>
      <w:r w:rsidRPr="00477C38">
        <w:rPr>
          <w:rFonts w:ascii="標楷體" w:eastAsia="標楷體" w:hAnsi="標楷體" w:cs="新細明體"/>
          <w:b/>
          <w:bCs/>
          <w:kern w:val="0"/>
          <w:sz w:val="27"/>
          <w:szCs w:val="27"/>
          <w14:ligatures w14:val="none"/>
        </w:rPr>
        <w:t>2. 我國現行勞保退休金（勞保老年給付）與新制勞工退休金的不同：</w:t>
      </w:r>
    </w:p>
    <w:p w14:paraId="7A7034A2" w14:textId="77777777" w:rsidR="00477C38" w:rsidRPr="00477C38" w:rsidRDefault="00477C38" w:rsidP="00477C38">
      <w:pPr>
        <w:widowControl/>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kern w:val="0"/>
          <w14:ligatures w14:val="none"/>
        </w:rPr>
        <w:t>在給付制度、退休金計算方式和財務壓力三個方面，我國的勞保退休金與新制勞工退休金有以下不同：</w:t>
      </w:r>
    </w:p>
    <w:p w14:paraId="3DA02EF3" w14:textId="77777777" w:rsidR="00477C38" w:rsidRPr="00477C38" w:rsidRDefault="00477C38" w:rsidP="00477C38">
      <w:pPr>
        <w:widowControl/>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給付制度：</w:t>
      </w:r>
    </w:p>
    <w:p w14:paraId="4536031C" w14:textId="77777777" w:rsidR="00477C38" w:rsidRPr="00477C38" w:rsidRDefault="00477C38" w:rsidP="00477C38">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勞保老年給付</w:t>
      </w:r>
      <w:r w:rsidRPr="00477C38">
        <w:rPr>
          <w:rFonts w:ascii="標楷體" w:eastAsia="標楷體" w:hAnsi="標楷體" w:cs="新細明體"/>
          <w:kern w:val="0"/>
          <w14:ligatures w14:val="none"/>
        </w:rPr>
        <w:t xml:space="preserve"> 是基於工齡與投保薪資的退休金制度。這是一種社會保險，以雇主與員工共同繳費的方式運行，退休後根據工資和工齡計算退休金。</w:t>
      </w:r>
    </w:p>
    <w:p w14:paraId="4422130D" w14:textId="77777777" w:rsidR="00477C38" w:rsidRPr="00477C38" w:rsidRDefault="00477C38" w:rsidP="00477C38">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新制勞工退休金</w:t>
      </w:r>
      <w:r w:rsidRPr="00477C38">
        <w:rPr>
          <w:rFonts w:ascii="標楷體" w:eastAsia="標楷體" w:hAnsi="標楷體" w:cs="新細明體"/>
          <w:kern w:val="0"/>
          <w14:ligatures w14:val="none"/>
        </w:rPr>
        <w:t xml:space="preserve"> 則是個人帳戶制，強調個人參與</w:t>
      </w:r>
      <w:proofErr w:type="gramStart"/>
      <w:r w:rsidRPr="00477C38">
        <w:rPr>
          <w:rFonts w:ascii="標楷體" w:eastAsia="標楷體" w:hAnsi="標楷體" w:cs="新細明體"/>
          <w:kern w:val="0"/>
          <w14:ligatures w14:val="none"/>
        </w:rPr>
        <w:t>與</w:t>
      </w:r>
      <w:proofErr w:type="gramEnd"/>
      <w:r w:rsidRPr="00477C38">
        <w:rPr>
          <w:rFonts w:ascii="標楷體" w:eastAsia="標楷體" w:hAnsi="標楷體" w:cs="新細明體"/>
          <w:kern w:val="0"/>
          <w14:ligatures w14:val="none"/>
        </w:rPr>
        <w:t>累積。雇主需按照勞工薪資的一定比例繳納到退休金個人專戶。退休金主要取決於個人帳戶的累積本金與收益。</w:t>
      </w:r>
    </w:p>
    <w:p w14:paraId="6A41B74E" w14:textId="77777777" w:rsidR="00477C38" w:rsidRPr="00477C38" w:rsidRDefault="00477C38" w:rsidP="00477C38">
      <w:pPr>
        <w:widowControl/>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退休金的計算方式：</w:t>
      </w:r>
    </w:p>
    <w:p w14:paraId="76222684" w14:textId="77777777" w:rsidR="00477C38" w:rsidRPr="00477C38" w:rsidRDefault="00477C38" w:rsidP="00477C3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勞保老年給付</w:t>
      </w:r>
      <w:r w:rsidRPr="00477C38">
        <w:rPr>
          <w:rFonts w:ascii="標楷體" w:eastAsia="標楷體" w:hAnsi="標楷體" w:cs="新細明體"/>
          <w:kern w:val="0"/>
          <w14:ligatures w14:val="none"/>
        </w:rPr>
        <w:t xml:space="preserve"> 的計算主要依據員工的工齡和退休前幾年平均薪資來決定，通常以「月退休金」的方式按月支付。</w:t>
      </w:r>
    </w:p>
    <w:p w14:paraId="172C8779" w14:textId="77777777" w:rsidR="00477C38" w:rsidRPr="00477C38" w:rsidRDefault="00477C38" w:rsidP="00477C3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新制勞工退休金</w:t>
      </w:r>
      <w:r w:rsidRPr="00477C38">
        <w:rPr>
          <w:rFonts w:ascii="標楷體" w:eastAsia="標楷體" w:hAnsi="標楷體" w:cs="新細明體"/>
          <w:kern w:val="0"/>
          <w14:ligatures w14:val="none"/>
        </w:rPr>
        <w:t xml:space="preserve"> 的計算則是基於帳戶累積額度，並視個人投資收益而定。退休時可以選擇一次領取或分期領取累積的基金。</w:t>
      </w:r>
    </w:p>
    <w:p w14:paraId="2255E7A1" w14:textId="77777777" w:rsidR="00477C38" w:rsidRPr="00477C38" w:rsidRDefault="00477C38" w:rsidP="00477C38">
      <w:pPr>
        <w:widowControl/>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財務壓力：</w:t>
      </w:r>
    </w:p>
    <w:p w14:paraId="54A3C794" w14:textId="77777777" w:rsidR="00477C38" w:rsidRPr="00477C38" w:rsidRDefault="00477C38" w:rsidP="00477C3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勞保老年給付</w:t>
      </w:r>
      <w:r w:rsidRPr="00477C38">
        <w:rPr>
          <w:rFonts w:ascii="標楷體" w:eastAsia="標楷體" w:hAnsi="標楷體" w:cs="新細明體"/>
          <w:kern w:val="0"/>
          <w14:ligatures w14:val="none"/>
        </w:rPr>
        <w:t xml:space="preserve"> 面臨的是長期的財務可持續性問題。隨著人口老齡化</w:t>
      </w:r>
      <w:proofErr w:type="gramStart"/>
      <w:r w:rsidRPr="00477C38">
        <w:rPr>
          <w:rFonts w:ascii="標楷體" w:eastAsia="標楷體" w:hAnsi="標楷體" w:cs="新細明體"/>
          <w:kern w:val="0"/>
          <w14:ligatures w14:val="none"/>
        </w:rPr>
        <w:t>及少子化</w:t>
      </w:r>
      <w:proofErr w:type="gramEnd"/>
      <w:r w:rsidRPr="00477C38">
        <w:rPr>
          <w:rFonts w:ascii="標楷體" w:eastAsia="標楷體" w:hAnsi="標楷體" w:cs="新細明體"/>
          <w:kern w:val="0"/>
          <w14:ligatures w14:val="none"/>
        </w:rPr>
        <w:t>的影響，支出的增加遠超收入增長，可能造成財務不平衡。</w:t>
      </w:r>
    </w:p>
    <w:p w14:paraId="2A2C6C88" w14:textId="77777777" w:rsidR="00477C38" w:rsidRPr="00477C38" w:rsidRDefault="00477C38" w:rsidP="00477C3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477C38">
        <w:rPr>
          <w:rFonts w:ascii="標楷體" w:eastAsia="標楷體" w:hAnsi="標楷體" w:cs="新細明體"/>
          <w:b/>
          <w:bCs/>
          <w:kern w:val="0"/>
          <w14:ligatures w14:val="none"/>
        </w:rPr>
        <w:t>新制勞工退休金</w:t>
      </w:r>
      <w:r w:rsidRPr="00477C38">
        <w:rPr>
          <w:rFonts w:ascii="標楷體" w:eastAsia="標楷體" w:hAnsi="標楷體" w:cs="新細明體"/>
          <w:kern w:val="0"/>
          <w14:ligatures w14:val="none"/>
        </w:rPr>
        <w:t xml:space="preserve"> 的財務壓力相對較小，因為其基於個人帳戶累積，且風險由個人承擔。然而，這也意味著在經濟不景氣時，個人退休金可能受到市場波動的影響。</w:t>
      </w:r>
    </w:p>
    <w:p w14:paraId="6DE33479" w14:textId="77777777" w:rsidR="002C6C1E" w:rsidRPr="000165DC" w:rsidRDefault="002C6C1E" w:rsidP="002C6C1E">
      <w:pPr>
        <w:rPr>
          <w:rFonts w:ascii="標楷體" w:eastAsia="標楷體" w:hAnsi="標楷體"/>
          <w:b/>
          <w:bCs/>
          <w:color w:val="FF0000"/>
        </w:rPr>
      </w:pPr>
    </w:p>
    <w:p w14:paraId="7C370C0E" w14:textId="77777777" w:rsidR="00477C38" w:rsidRPr="000165DC" w:rsidRDefault="00477C38">
      <w:pPr>
        <w:widowControl/>
        <w:rPr>
          <w:rFonts w:ascii="標楷體" w:eastAsia="標楷體" w:hAnsi="標楷體"/>
          <w:b/>
          <w:bCs/>
          <w:color w:val="FF0000"/>
        </w:rPr>
      </w:pPr>
      <w:r w:rsidRPr="000165DC">
        <w:rPr>
          <w:rFonts w:ascii="標楷體" w:eastAsia="標楷體" w:hAnsi="標楷體"/>
          <w:b/>
          <w:bCs/>
          <w:color w:val="FF0000"/>
        </w:rPr>
        <w:br w:type="page"/>
      </w:r>
    </w:p>
    <w:p w14:paraId="1E604C01" w14:textId="69EE7623" w:rsidR="00D021F4" w:rsidRPr="000165DC" w:rsidRDefault="00D021F4" w:rsidP="00D021F4">
      <w:pPr>
        <w:rPr>
          <w:rFonts w:ascii="標楷體" w:eastAsia="標楷體" w:hAnsi="標楷體"/>
          <w:b/>
          <w:bCs/>
          <w:color w:val="FF0000"/>
        </w:rPr>
      </w:pPr>
      <w:r w:rsidRPr="000165DC">
        <w:rPr>
          <w:rFonts w:ascii="標楷體" w:eastAsia="標楷體" w:hAnsi="標楷體"/>
          <w:b/>
          <w:bCs/>
          <w:color w:val="FF0000"/>
        </w:rPr>
        <w:lastRenderedPageBreak/>
        <w:t>claude-3-opus</w:t>
      </w:r>
    </w:p>
    <w:p w14:paraId="45DD2C74"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1. 政府干預社會保障金市場的理論根據：</w:t>
      </w:r>
    </w:p>
    <w:p w14:paraId="50FF3C7A"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a) 市場失靈理論：由於私人市場存在資訊不對稱、逆選擇和道德風險等問題，導致市場無法有效提供足夠的社會保障，需要政府介入進行糾正。</w:t>
      </w:r>
    </w:p>
    <w:p w14:paraId="6ABFE218"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b) 社會公平理論：社會保障金的提供有助於維護社會公平，確保弱勢群體的基本生活保障，體現政府的再分配職能。</w:t>
      </w:r>
    </w:p>
    <w:p w14:paraId="5E51A163"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c) 人力資本投資理論：社會保障金的提供可以促進人力資本的培育和積累，為經濟發展提供長期動力。</w:t>
      </w:r>
    </w:p>
    <w:p w14:paraId="7CA937AA"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d) 經濟穩定理論：社會保障金的提供有助於經濟的穩定運行，在經濟衰退時期可以發揮自動穩定器的作用。</w:t>
      </w:r>
    </w:p>
    <w:p w14:paraId="02C979C2" w14:textId="77777777" w:rsidR="00477C38" w:rsidRPr="000165DC" w:rsidRDefault="00477C38" w:rsidP="00477C38">
      <w:pPr>
        <w:rPr>
          <w:rFonts w:ascii="標楷體" w:eastAsia="標楷體" w:hAnsi="標楷體"/>
        </w:rPr>
      </w:pPr>
    </w:p>
    <w:p w14:paraId="0650CAD7"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2. 我國勞保退休金與新制勞工退休金的不同：</w:t>
      </w:r>
    </w:p>
    <w:p w14:paraId="648258E5"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a) 給付制度：</w:t>
      </w:r>
    </w:p>
    <w:p w14:paraId="77994243"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 勞保退休金屬於確定給付制，退休金水平與個人繳費年資和投保薪資掛</w:t>
      </w:r>
      <w:proofErr w:type="gramStart"/>
      <w:r w:rsidRPr="000165DC">
        <w:rPr>
          <w:rFonts w:ascii="標楷體" w:eastAsia="標楷體" w:hAnsi="標楷體" w:hint="eastAsia"/>
        </w:rPr>
        <w:t>鉤</w:t>
      </w:r>
      <w:proofErr w:type="gramEnd"/>
      <w:r w:rsidRPr="000165DC">
        <w:rPr>
          <w:rFonts w:ascii="標楷體" w:eastAsia="標楷體" w:hAnsi="標楷體" w:hint="eastAsia"/>
        </w:rPr>
        <w:t>。</w:t>
      </w:r>
    </w:p>
    <w:p w14:paraId="4D9009A3"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 新制勞工退休金屬於確定</w:t>
      </w:r>
      <w:proofErr w:type="gramStart"/>
      <w:r w:rsidRPr="000165DC">
        <w:rPr>
          <w:rFonts w:ascii="標楷體" w:eastAsia="標楷體" w:hAnsi="標楷體" w:hint="eastAsia"/>
        </w:rPr>
        <w:t>提撥</w:t>
      </w:r>
      <w:proofErr w:type="gramEnd"/>
      <w:r w:rsidRPr="000165DC">
        <w:rPr>
          <w:rFonts w:ascii="標楷體" w:eastAsia="標楷體" w:hAnsi="標楷體" w:hint="eastAsia"/>
        </w:rPr>
        <w:t>制，退休金水平取決於個人帳戶的累計繳費額和投資收益。</w:t>
      </w:r>
    </w:p>
    <w:p w14:paraId="29CE9173"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b) 退休金計算方式：</w:t>
      </w:r>
    </w:p>
    <w:p w14:paraId="74AEBD72"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 勞保退休金按照個人繳費年資和平均投保薪資計算，採取基礎年金加上年資補充年金的方式。</w:t>
      </w:r>
    </w:p>
    <w:p w14:paraId="6EA6A1FE"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 新制勞工退休金以個人帳戶為基礎，由雇主每月提繳工資6%，累計至勞工個人帳戶，並由勞工自行選擇投資標的。</w:t>
      </w:r>
    </w:p>
    <w:p w14:paraId="09A1768D"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c) 財務壓力：</w:t>
      </w:r>
    </w:p>
    <w:p w14:paraId="124DBAA5" w14:textId="77777777" w:rsidR="00477C38" w:rsidRPr="000165DC" w:rsidRDefault="00477C38" w:rsidP="00477C38">
      <w:pPr>
        <w:rPr>
          <w:rFonts w:ascii="標楷體" w:eastAsia="標楷體" w:hAnsi="標楷體" w:hint="eastAsia"/>
        </w:rPr>
      </w:pPr>
      <w:r w:rsidRPr="000165DC">
        <w:rPr>
          <w:rFonts w:ascii="標楷體" w:eastAsia="標楷體" w:hAnsi="標楷體" w:hint="eastAsia"/>
        </w:rPr>
        <w:t xml:space="preserve">      - 勞保退休金面臨嚴重的財務缺口，隨著人口老齡化加劇和基金投資收益下降，勞保基金面臨短期內用盡的風險。</w:t>
      </w:r>
    </w:p>
    <w:p w14:paraId="6E5DC64F" w14:textId="4AFE00FE" w:rsidR="002C6C1E" w:rsidRPr="000165DC" w:rsidRDefault="00477C38" w:rsidP="00477C38">
      <w:pPr>
        <w:rPr>
          <w:rFonts w:ascii="標楷體" w:eastAsia="標楷體" w:hAnsi="標楷體" w:hint="eastAsia"/>
        </w:rPr>
      </w:pPr>
      <w:r w:rsidRPr="000165DC">
        <w:rPr>
          <w:rFonts w:ascii="標楷體" w:eastAsia="標楷體" w:hAnsi="標楷體" w:hint="eastAsia"/>
        </w:rPr>
        <w:t xml:space="preserve">      - 新制勞工退休金目前財務狀況相對較好，但仍需警惕通貨膨脹和投資風險對基金收益的影響，同時需要提高個人帳戶繳費額以提升退休保障水平。</w:t>
      </w:r>
    </w:p>
    <w:p w14:paraId="7F5218EB" w14:textId="0B2264F4" w:rsidR="00D021F4" w:rsidRPr="000165DC" w:rsidRDefault="00477C38" w:rsidP="00477C38">
      <w:pPr>
        <w:widowControl/>
        <w:rPr>
          <w:rFonts w:ascii="標楷體" w:eastAsia="標楷體" w:hAnsi="標楷體"/>
          <w:b/>
          <w:bCs/>
          <w:color w:val="FF0000"/>
        </w:rPr>
      </w:pPr>
      <w:r w:rsidRPr="000165DC">
        <w:rPr>
          <w:rFonts w:ascii="標楷體" w:eastAsia="標楷體" w:hAnsi="標楷體"/>
          <w:b/>
          <w:bCs/>
          <w:color w:val="FF0000"/>
        </w:rPr>
        <w:br w:type="page"/>
      </w:r>
      <w:r w:rsidR="00D021F4" w:rsidRPr="000165DC">
        <w:rPr>
          <w:rFonts w:ascii="標楷體" w:eastAsia="標楷體" w:hAnsi="標楷體"/>
          <w:b/>
          <w:bCs/>
          <w:color w:val="FF0000"/>
        </w:rPr>
        <w:lastRenderedPageBreak/>
        <w:t>Gemma3 27b</w:t>
      </w:r>
    </w:p>
    <w:p w14:paraId="1DCB4600" w14:textId="77777777" w:rsidR="00477C38" w:rsidRPr="000165DC" w:rsidRDefault="00477C38" w:rsidP="00477C38">
      <w:pPr>
        <w:pStyle w:val="2"/>
        <w:rPr>
          <w:rFonts w:ascii="標楷體" w:eastAsia="標楷體" w:hAnsi="標楷體"/>
          <w:kern w:val="0"/>
          <w:sz w:val="36"/>
          <w:szCs w:val="36"/>
        </w:rPr>
      </w:pPr>
      <w:r w:rsidRPr="000165DC">
        <w:rPr>
          <w:rFonts w:ascii="標楷體" w:eastAsia="標楷體" w:hAnsi="標楷體"/>
        </w:rPr>
        <w:t>社會保障金市場（或退休金市場）問題解答</w:t>
      </w:r>
    </w:p>
    <w:p w14:paraId="1A4939D4" w14:textId="77777777" w:rsidR="00477C38" w:rsidRPr="000165DC" w:rsidRDefault="00477C38" w:rsidP="00477C38">
      <w:pPr>
        <w:pStyle w:val="3"/>
        <w:rPr>
          <w:rFonts w:ascii="標楷體" w:eastAsia="標楷體" w:hAnsi="標楷體"/>
        </w:rPr>
      </w:pPr>
      <w:r w:rsidRPr="000165DC">
        <w:rPr>
          <w:rFonts w:ascii="標楷體" w:eastAsia="標楷體" w:hAnsi="標楷體"/>
        </w:rPr>
        <w:t>1. 政府干預社會保障金市場的理論論述根據（10 分）</w:t>
      </w:r>
    </w:p>
    <w:p w14:paraId="063C4CF7" w14:textId="77777777" w:rsidR="00477C38" w:rsidRPr="000165DC" w:rsidRDefault="00477C38" w:rsidP="00477C38">
      <w:pPr>
        <w:pStyle w:val="Web"/>
        <w:rPr>
          <w:rFonts w:ascii="標楷體" w:eastAsia="標楷體" w:hAnsi="標楷體"/>
        </w:rPr>
      </w:pPr>
      <w:r w:rsidRPr="000165DC">
        <w:rPr>
          <w:rFonts w:ascii="標楷體" w:eastAsia="標楷體" w:hAnsi="標楷體"/>
        </w:rPr>
        <w:t>在財政學討論的範疇中，政府干預社會保障金市場，可以有以下理論上的論述根據：</w:t>
      </w:r>
    </w:p>
    <w:p w14:paraId="52615621" w14:textId="77777777" w:rsidR="00477C38" w:rsidRPr="000165DC" w:rsidRDefault="00477C38" w:rsidP="00477C38">
      <w:pPr>
        <w:widowControl/>
        <w:numPr>
          <w:ilvl w:val="0"/>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市場失靈 (Market Failure)：</w:t>
      </w:r>
      <w:r w:rsidRPr="000165DC">
        <w:rPr>
          <w:rFonts w:ascii="標楷體" w:eastAsia="標楷體" w:hAnsi="標楷體"/>
        </w:rPr>
        <w:t xml:space="preserve"> 這是最主要的論述基礎。</w:t>
      </w:r>
    </w:p>
    <w:p w14:paraId="7B3204E1" w14:textId="77777777" w:rsidR="00477C38" w:rsidRPr="000165DC" w:rsidRDefault="00477C38" w:rsidP="00477C38">
      <w:pPr>
        <w:widowControl/>
        <w:numPr>
          <w:ilvl w:val="1"/>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資訊不對稱 (Information Asymmetry):</w:t>
      </w:r>
      <w:r w:rsidRPr="000165DC">
        <w:rPr>
          <w:rFonts w:ascii="標楷體" w:eastAsia="標楷體" w:hAnsi="標楷體"/>
        </w:rPr>
        <w:t xml:space="preserve"> 個體難以充分預測自己的壽命、健康狀況、以及退休後的消費需求，造成對退休規劃的資訊不對稱。</w:t>
      </w:r>
    </w:p>
    <w:p w14:paraId="48F22439" w14:textId="77777777" w:rsidR="00477C38" w:rsidRPr="000165DC" w:rsidRDefault="00477C38" w:rsidP="00477C38">
      <w:pPr>
        <w:widowControl/>
        <w:numPr>
          <w:ilvl w:val="1"/>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道德風險 (Moral Hazard):</w:t>
      </w:r>
      <w:r w:rsidRPr="000165DC">
        <w:rPr>
          <w:rFonts w:ascii="標楷體" w:eastAsia="標楷體" w:hAnsi="標楷體"/>
        </w:rPr>
        <w:t xml:space="preserve"> 領取社會保障金可能降低個體退休後努力工作或節約消費的意願。</w:t>
      </w:r>
    </w:p>
    <w:p w14:paraId="0C647B8C" w14:textId="77777777" w:rsidR="00477C38" w:rsidRPr="000165DC" w:rsidRDefault="00477C38" w:rsidP="00477C38">
      <w:pPr>
        <w:widowControl/>
        <w:numPr>
          <w:ilvl w:val="1"/>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外部性 (Externalities):</w:t>
      </w:r>
      <w:r w:rsidRPr="000165DC">
        <w:rPr>
          <w:rFonts w:ascii="標楷體" w:eastAsia="標楷體" w:hAnsi="標楷體"/>
        </w:rPr>
        <w:t xml:space="preserve"> 社會保障制度可以減少貧困、犯罪等社會負擔，產生正向外部性。</w:t>
      </w:r>
    </w:p>
    <w:p w14:paraId="05E45F5D" w14:textId="77777777" w:rsidR="00477C38" w:rsidRPr="000165DC" w:rsidRDefault="00477C38" w:rsidP="00477C38">
      <w:pPr>
        <w:widowControl/>
        <w:numPr>
          <w:ilvl w:val="1"/>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公共財特性 (Public Goods Characteristics):</w:t>
      </w:r>
      <w:r w:rsidRPr="000165DC">
        <w:rPr>
          <w:rFonts w:ascii="標楷體" w:eastAsia="標楷體" w:hAnsi="標楷體"/>
        </w:rPr>
        <w:t xml:space="preserve"> 社會保障金具有一定程度的非排他性及非競爭性，符合公共財的特性。</w:t>
      </w:r>
    </w:p>
    <w:p w14:paraId="252B1A6D" w14:textId="77777777" w:rsidR="00477C38" w:rsidRPr="000165DC" w:rsidRDefault="00477C38" w:rsidP="00477C38">
      <w:pPr>
        <w:widowControl/>
        <w:numPr>
          <w:ilvl w:val="0"/>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公平正義 (Equity &amp; Social Justice):</w:t>
      </w:r>
      <w:r w:rsidRPr="000165DC">
        <w:rPr>
          <w:rFonts w:ascii="標楷體" w:eastAsia="標楷體" w:hAnsi="標楷體"/>
        </w:rPr>
        <w:t xml:space="preserve"> 社會保障金可以實現收入再分配，保障弱勢群體的最低生活水平，減少社會不平等。</w:t>
      </w:r>
    </w:p>
    <w:p w14:paraId="01A17E73" w14:textId="77777777" w:rsidR="00477C38" w:rsidRPr="000165DC" w:rsidRDefault="00477C38" w:rsidP="00477C38">
      <w:pPr>
        <w:widowControl/>
        <w:numPr>
          <w:ilvl w:val="0"/>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行為經濟學 (Behavioral Economics)：</w:t>
      </w:r>
    </w:p>
    <w:p w14:paraId="2B7CB3C2" w14:textId="77777777" w:rsidR="00477C38" w:rsidRPr="000165DC" w:rsidRDefault="00477C38" w:rsidP="00477C38">
      <w:pPr>
        <w:widowControl/>
        <w:numPr>
          <w:ilvl w:val="1"/>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有限理性 (Bounded Rationality):</w:t>
      </w:r>
      <w:r w:rsidRPr="000165DC">
        <w:rPr>
          <w:rFonts w:ascii="標楷體" w:eastAsia="標楷體" w:hAnsi="標楷體"/>
        </w:rPr>
        <w:t xml:space="preserve"> 個體在退休規劃上可能缺乏理性，容易受到認知偏差的影響。</w:t>
      </w:r>
    </w:p>
    <w:p w14:paraId="6A08D2DF" w14:textId="77777777" w:rsidR="00477C38" w:rsidRPr="000165DC" w:rsidRDefault="00477C38" w:rsidP="00477C38">
      <w:pPr>
        <w:widowControl/>
        <w:numPr>
          <w:ilvl w:val="1"/>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自我控制問題 (Self-Control Problem):</w:t>
      </w:r>
      <w:r w:rsidRPr="000165DC">
        <w:rPr>
          <w:rFonts w:ascii="標楷體" w:eastAsia="標楷體" w:hAnsi="標楷體"/>
        </w:rPr>
        <w:t xml:space="preserve"> 個體可能難以堅持長期儲蓄計畫，需要政府的強制參與來確保退休儲蓄。</w:t>
      </w:r>
    </w:p>
    <w:p w14:paraId="6F8E9F98" w14:textId="77777777" w:rsidR="00477C38" w:rsidRPr="000165DC" w:rsidRDefault="00477C38" w:rsidP="00477C38">
      <w:pPr>
        <w:widowControl/>
        <w:numPr>
          <w:ilvl w:val="0"/>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社會風險管理 (Social Risk Management):</w:t>
      </w:r>
      <w:r w:rsidRPr="000165DC">
        <w:rPr>
          <w:rFonts w:ascii="標楷體" w:eastAsia="標楷體" w:hAnsi="標楷體"/>
        </w:rPr>
        <w:t xml:space="preserve"> 社會保障金可以分散個體面臨的退休風險，提供更穩定的退休收入來源。</w:t>
      </w:r>
    </w:p>
    <w:p w14:paraId="4D8D8600" w14:textId="77777777" w:rsidR="00477C38" w:rsidRPr="000165DC" w:rsidRDefault="00477C38" w:rsidP="00477C38">
      <w:pPr>
        <w:widowControl/>
        <w:numPr>
          <w:ilvl w:val="0"/>
          <w:numId w:val="5"/>
        </w:numPr>
        <w:spacing w:before="100" w:beforeAutospacing="1" w:after="100" w:afterAutospacing="1" w:line="240" w:lineRule="auto"/>
        <w:rPr>
          <w:rFonts w:ascii="標楷體" w:eastAsia="標楷體" w:hAnsi="標楷體"/>
        </w:rPr>
      </w:pPr>
      <w:proofErr w:type="gramStart"/>
      <w:r w:rsidRPr="000165DC">
        <w:rPr>
          <w:rStyle w:val="a3"/>
          <w:rFonts w:ascii="標楷體" w:eastAsia="標楷體" w:hAnsi="標楷體"/>
        </w:rPr>
        <w:t>代際公平</w:t>
      </w:r>
      <w:proofErr w:type="gramEnd"/>
      <w:r w:rsidRPr="000165DC">
        <w:rPr>
          <w:rStyle w:val="a3"/>
          <w:rFonts w:ascii="標楷體" w:eastAsia="標楷體" w:hAnsi="標楷體"/>
        </w:rPr>
        <w:t xml:space="preserve"> (Intergenerational Equity):</w:t>
      </w:r>
      <w:r w:rsidRPr="000165DC">
        <w:rPr>
          <w:rFonts w:ascii="標楷體" w:eastAsia="標楷體" w:hAnsi="標楷體"/>
        </w:rPr>
        <w:t xml:space="preserve"> 政府有責任確保不同世代的權益平衡，避免將過重的負擔轉嫁給後代。</w:t>
      </w:r>
    </w:p>
    <w:p w14:paraId="495A8A89" w14:textId="77777777" w:rsidR="00477C38" w:rsidRPr="000165DC" w:rsidRDefault="00477C38" w:rsidP="00477C38">
      <w:pPr>
        <w:widowControl/>
        <w:numPr>
          <w:ilvl w:val="0"/>
          <w:numId w:val="5"/>
        </w:numPr>
        <w:spacing w:before="100" w:beforeAutospacing="1" w:after="100" w:afterAutospacing="1" w:line="240" w:lineRule="auto"/>
        <w:rPr>
          <w:rFonts w:ascii="標楷體" w:eastAsia="標楷體" w:hAnsi="標楷體"/>
        </w:rPr>
      </w:pPr>
      <w:r w:rsidRPr="000165DC">
        <w:rPr>
          <w:rStyle w:val="a3"/>
          <w:rFonts w:ascii="標楷體" w:eastAsia="標楷體" w:hAnsi="標楷體"/>
        </w:rPr>
        <w:t>政治考量 (Political Considerations):</w:t>
      </w:r>
      <w:r w:rsidRPr="000165DC">
        <w:rPr>
          <w:rFonts w:ascii="標楷體" w:eastAsia="標楷體" w:hAnsi="標楷體"/>
        </w:rPr>
        <w:t xml:space="preserve"> 退休金制度是重要的政治議題，政府需要考慮選民的需求和利益。</w:t>
      </w:r>
    </w:p>
    <w:p w14:paraId="3181901F" w14:textId="77777777" w:rsidR="00477C38" w:rsidRPr="000165DC" w:rsidRDefault="00477C38" w:rsidP="00477C38">
      <w:pPr>
        <w:pStyle w:val="Web"/>
        <w:rPr>
          <w:rFonts w:ascii="標楷體" w:eastAsia="標楷體" w:hAnsi="標楷體"/>
        </w:rPr>
      </w:pPr>
      <w:r w:rsidRPr="000165DC">
        <w:rPr>
          <w:rFonts w:ascii="標楷體" w:eastAsia="標楷體" w:hAnsi="標楷體"/>
        </w:rPr>
        <w:t>總結來說，政府干預社會保障金市場旨在修正市場失靈、實現公平正義、鼓勵理性規劃，並確保社會的穩定與和諧。</w:t>
      </w:r>
    </w:p>
    <w:p w14:paraId="5282D3BF" w14:textId="77777777" w:rsidR="00477C38" w:rsidRPr="000165DC" w:rsidRDefault="00477C38" w:rsidP="00477C38">
      <w:pPr>
        <w:pStyle w:val="3"/>
        <w:rPr>
          <w:rFonts w:ascii="標楷體" w:eastAsia="標楷體" w:hAnsi="標楷體"/>
        </w:rPr>
      </w:pPr>
      <w:r w:rsidRPr="000165DC">
        <w:rPr>
          <w:rFonts w:ascii="標楷體" w:eastAsia="標楷體" w:hAnsi="標楷體"/>
        </w:rPr>
        <w:lastRenderedPageBreak/>
        <w:t>2. 我國現行勞保退休金（勞保老年給付）與新制勞工退休金的比較（10 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
        <w:gridCol w:w="3819"/>
        <w:gridCol w:w="3956"/>
      </w:tblGrid>
      <w:tr w:rsidR="00477C38" w:rsidRPr="000165DC" w14:paraId="19A70FBE" w14:textId="77777777" w:rsidTr="00D06417">
        <w:trPr>
          <w:tblHeader/>
          <w:tblCellSpacing w:w="15" w:type="dxa"/>
        </w:trPr>
        <w:tc>
          <w:tcPr>
            <w:tcW w:w="0" w:type="auto"/>
            <w:vAlign w:val="center"/>
            <w:hideMark/>
          </w:tcPr>
          <w:p w14:paraId="0002221A" w14:textId="77777777" w:rsidR="00477C38" w:rsidRPr="000165DC" w:rsidRDefault="00477C38" w:rsidP="00D06417">
            <w:pPr>
              <w:jc w:val="center"/>
              <w:rPr>
                <w:rFonts w:ascii="標楷體" w:eastAsia="標楷體" w:hAnsi="標楷體"/>
                <w:b/>
                <w:bCs/>
              </w:rPr>
            </w:pPr>
            <w:r w:rsidRPr="000165DC">
              <w:rPr>
                <w:rFonts w:ascii="標楷體" w:eastAsia="標楷體" w:hAnsi="標楷體"/>
                <w:b/>
                <w:bCs/>
              </w:rPr>
              <w:t>項目</w:t>
            </w:r>
          </w:p>
        </w:tc>
        <w:tc>
          <w:tcPr>
            <w:tcW w:w="0" w:type="auto"/>
            <w:vAlign w:val="center"/>
            <w:hideMark/>
          </w:tcPr>
          <w:p w14:paraId="6CE2FF82" w14:textId="77777777" w:rsidR="00477C38" w:rsidRPr="000165DC" w:rsidRDefault="00477C38" w:rsidP="00D06417">
            <w:pPr>
              <w:jc w:val="center"/>
              <w:rPr>
                <w:rFonts w:ascii="標楷體" w:eastAsia="標楷體" w:hAnsi="標楷體"/>
                <w:b/>
                <w:bCs/>
              </w:rPr>
            </w:pPr>
            <w:r w:rsidRPr="000165DC">
              <w:rPr>
                <w:rFonts w:ascii="標楷體" w:eastAsia="標楷體" w:hAnsi="標楷體"/>
                <w:b/>
                <w:bCs/>
              </w:rPr>
              <w:t>勞保老年給付（舊制）</w:t>
            </w:r>
          </w:p>
        </w:tc>
        <w:tc>
          <w:tcPr>
            <w:tcW w:w="0" w:type="auto"/>
            <w:vAlign w:val="center"/>
            <w:hideMark/>
          </w:tcPr>
          <w:p w14:paraId="5B7103AE" w14:textId="77777777" w:rsidR="00477C38" w:rsidRPr="000165DC" w:rsidRDefault="00477C38" w:rsidP="00D06417">
            <w:pPr>
              <w:jc w:val="center"/>
              <w:rPr>
                <w:rFonts w:ascii="標楷體" w:eastAsia="標楷體" w:hAnsi="標楷體"/>
                <w:b/>
                <w:bCs/>
              </w:rPr>
            </w:pPr>
            <w:r w:rsidRPr="000165DC">
              <w:rPr>
                <w:rFonts w:ascii="標楷體" w:eastAsia="標楷體" w:hAnsi="標楷體"/>
                <w:b/>
                <w:bCs/>
              </w:rPr>
              <w:t>新制勞工退休金</w:t>
            </w:r>
          </w:p>
        </w:tc>
      </w:tr>
      <w:tr w:rsidR="00477C38" w:rsidRPr="000165DC" w14:paraId="0E7315E1" w14:textId="77777777" w:rsidTr="00D06417">
        <w:trPr>
          <w:tblCellSpacing w:w="15" w:type="dxa"/>
        </w:trPr>
        <w:tc>
          <w:tcPr>
            <w:tcW w:w="0" w:type="auto"/>
            <w:vAlign w:val="center"/>
            <w:hideMark/>
          </w:tcPr>
          <w:p w14:paraId="3913A438" w14:textId="77777777" w:rsidR="00477C38" w:rsidRPr="000165DC" w:rsidRDefault="00477C38" w:rsidP="00D06417">
            <w:pPr>
              <w:rPr>
                <w:rFonts w:ascii="標楷體" w:eastAsia="標楷體" w:hAnsi="標楷體"/>
              </w:rPr>
            </w:pPr>
            <w:r w:rsidRPr="000165DC">
              <w:rPr>
                <w:rStyle w:val="a3"/>
                <w:rFonts w:ascii="標楷體" w:eastAsia="標楷體" w:hAnsi="標楷體"/>
              </w:rPr>
              <w:t>給付制度</w:t>
            </w:r>
          </w:p>
        </w:tc>
        <w:tc>
          <w:tcPr>
            <w:tcW w:w="0" w:type="auto"/>
            <w:vAlign w:val="center"/>
            <w:hideMark/>
          </w:tcPr>
          <w:p w14:paraId="418FDB06" w14:textId="77777777" w:rsidR="00477C38" w:rsidRPr="000165DC" w:rsidRDefault="00477C38" w:rsidP="00D06417">
            <w:pPr>
              <w:rPr>
                <w:rFonts w:ascii="標楷體" w:eastAsia="標楷體" w:hAnsi="標楷體"/>
              </w:rPr>
            </w:pPr>
            <w:r w:rsidRPr="000165DC">
              <w:rPr>
                <w:rFonts w:ascii="標楷體" w:eastAsia="標楷體" w:hAnsi="標楷體"/>
              </w:rPr>
              <w:t>定額制 (給付金額與投保薪資及年資有關，不與投資績效連動)</w:t>
            </w:r>
          </w:p>
        </w:tc>
        <w:tc>
          <w:tcPr>
            <w:tcW w:w="0" w:type="auto"/>
            <w:vAlign w:val="center"/>
            <w:hideMark/>
          </w:tcPr>
          <w:p w14:paraId="46D2577C" w14:textId="77777777" w:rsidR="00477C38" w:rsidRPr="000165DC" w:rsidRDefault="00477C38" w:rsidP="00D06417">
            <w:pPr>
              <w:rPr>
                <w:rFonts w:ascii="標楷體" w:eastAsia="標楷體" w:hAnsi="標楷體"/>
              </w:rPr>
            </w:pPr>
            <w:r w:rsidRPr="000165DC">
              <w:rPr>
                <w:rFonts w:ascii="標楷體" w:eastAsia="標楷體" w:hAnsi="標楷體"/>
              </w:rPr>
              <w:t>定義帳戶制 (給付金額包含個人帳戶累積金額及投資收益，與投資績效連動) + 定額制 (部分)</w:t>
            </w:r>
          </w:p>
        </w:tc>
      </w:tr>
      <w:tr w:rsidR="00477C38" w:rsidRPr="000165DC" w14:paraId="4FA330EE" w14:textId="77777777" w:rsidTr="00D06417">
        <w:trPr>
          <w:tblCellSpacing w:w="15" w:type="dxa"/>
        </w:trPr>
        <w:tc>
          <w:tcPr>
            <w:tcW w:w="0" w:type="auto"/>
            <w:vAlign w:val="center"/>
            <w:hideMark/>
          </w:tcPr>
          <w:p w14:paraId="701B0671" w14:textId="77777777" w:rsidR="00477C38" w:rsidRPr="000165DC" w:rsidRDefault="00477C38" w:rsidP="00D06417">
            <w:pPr>
              <w:rPr>
                <w:rFonts w:ascii="標楷體" w:eastAsia="標楷體" w:hAnsi="標楷體"/>
              </w:rPr>
            </w:pPr>
            <w:r w:rsidRPr="000165DC">
              <w:rPr>
                <w:rStyle w:val="a3"/>
                <w:rFonts w:ascii="標楷體" w:eastAsia="標楷體" w:hAnsi="標楷體"/>
              </w:rPr>
              <w:t>退休金計算方式</w:t>
            </w:r>
          </w:p>
        </w:tc>
        <w:tc>
          <w:tcPr>
            <w:tcW w:w="0" w:type="auto"/>
            <w:vAlign w:val="center"/>
            <w:hideMark/>
          </w:tcPr>
          <w:p w14:paraId="57D3159C" w14:textId="77777777" w:rsidR="00477C38" w:rsidRPr="000165DC" w:rsidRDefault="00477C38" w:rsidP="00D06417">
            <w:pPr>
              <w:rPr>
                <w:rFonts w:ascii="標楷體" w:eastAsia="標楷體" w:hAnsi="標楷體"/>
              </w:rPr>
            </w:pPr>
            <w:r w:rsidRPr="000165DC">
              <w:rPr>
                <w:rFonts w:ascii="標楷體" w:eastAsia="標楷體" w:hAnsi="標楷體"/>
              </w:rPr>
              <w:t>給付月數 = (投保年資) x (平均投保薪資) x (0.618) / 60 （給付金額會根據物價指數調整）</w:t>
            </w:r>
          </w:p>
        </w:tc>
        <w:tc>
          <w:tcPr>
            <w:tcW w:w="0" w:type="auto"/>
            <w:vAlign w:val="center"/>
            <w:hideMark/>
          </w:tcPr>
          <w:p w14:paraId="57F0E58D" w14:textId="77777777" w:rsidR="00477C38" w:rsidRPr="000165DC" w:rsidRDefault="00477C38" w:rsidP="00D06417">
            <w:pPr>
              <w:rPr>
                <w:rFonts w:ascii="標楷體" w:eastAsia="標楷體" w:hAnsi="標楷體"/>
              </w:rPr>
            </w:pPr>
            <w:r w:rsidRPr="000165DC">
              <w:rPr>
                <w:rFonts w:ascii="標楷體" w:eastAsia="標楷體" w:hAnsi="標楷體"/>
              </w:rPr>
              <w:t>**定義帳戶部分：**個人帳戶累積金額 + 投資收益</w:t>
            </w:r>
          </w:p>
        </w:tc>
      </w:tr>
      <w:tr w:rsidR="00477C38" w:rsidRPr="000165DC" w14:paraId="041C66C0" w14:textId="77777777" w:rsidTr="00D06417">
        <w:trPr>
          <w:tblCellSpacing w:w="15" w:type="dxa"/>
        </w:trPr>
        <w:tc>
          <w:tcPr>
            <w:tcW w:w="0" w:type="auto"/>
            <w:vAlign w:val="center"/>
            <w:hideMark/>
          </w:tcPr>
          <w:p w14:paraId="42990B14" w14:textId="77777777" w:rsidR="00477C38" w:rsidRPr="000165DC" w:rsidRDefault="00477C38" w:rsidP="00D06417">
            <w:pPr>
              <w:rPr>
                <w:rFonts w:ascii="標楷體" w:eastAsia="標楷體" w:hAnsi="標楷體"/>
              </w:rPr>
            </w:pPr>
          </w:p>
        </w:tc>
        <w:tc>
          <w:tcPr>
            <w:tcW w:w="0" w:type="auto"/>
            <w:vAlign w:val="center"/>
            <w:hideMark/>
          </w:tcPr>
          <w:p w14:paraId="044AD855" w14:textId="77777777" w:rsidR="00477C38" w:rsidRPr="000165DC" w:rsidRDefault="00477C38" w:rsidP="00D06417">
            <w:pPr>
              <w:rPr>
                <w:rFonts w:ascii="標楷體" w:eastAsia="標楷體" w:hAnsi="標楷體" w:cs="Times New Roman"/>
                <w:sz w:val="20"/>
                <w:szCs w:val="20"/>
              </w:rPr>
            </w:pPr>
          </w:p>
        </w:tc>
        <w:tc>
          <w:tcPr>
            <w:tcW w:w="0" w:type="auto"/>
            <w:vAlign w:val="center"/>
            <w:hideMark/>
          </w:tcPr>
          <w:p w14:paraId="4659F518" w14:textId="77777777" w:rsidR="00477C38" w:rsidRPr="000165DC" w:rsidRDefault="00477C38" w:rsidP="00D06417">
            <w:pPr>
              <w:rPr>
                <w:rFonts w:ascii="標楷體" w:eastAsia="標楷體" w:hAnsi="標楷體" w:cs="新細明體"/>
              </w:rPr>
            </w:pPr>
            <w:r w:rsidRPr="000165DC">
              <w:rPr>
                <w:rFonts w:ascii="標楷體" w:eastAsia="標楷體" w:hAnsi="標楷體"/>
              </w:rPr>
              <w:t>**定額制部分：**與舊制類似，但給付金額會降低，以維持財務平衡。</w:t>
            </w:r>
          </w:p>
        </w:tc>
      </w:tr>
      <w:tr w:rsidR="00477C38" w:rsidRPr="000165DC" w14:paraId="21FD536C" w14:textId="77777777" w:rsidTr="00D06417">
        <w:trPr>
          <w:tblCellSpacing w:w="15" w:type="dxa"/>
        </w:trPr>
        <w:tc>
          <w:tcPr>
            <w:tcW w:w="0" w:type="auto"/>
            <w:vAlign w:val="center"/>
            <w:hideMark/>
          </w:tcPr>
          <w:p w14:paraId="509E7CBC" w14:textId="77777777" w:rsidR="00477C38" w:rsidRPr="000165DC" w:rsidRDefault="00477C38" w:rsidP="00D06417">
            <w:pPr>
              <w:rPr>
                <w:rFonts w:ascii="標楷體" w:eastAsia="標楷體" w:hAnsi="標楷體"/>
              </w:rPr>
            </w:pPr>
            <w:r w:rsidRPr="000165DC">
              <w:rPr>
                <w:rStyle w:val="a3"/>
                <w:rFonts w:ascii="標楷體" w:eastAsia="標楷體" w:hAnsi="標楷體"/>
              </w:rPr>
              <w:t>財務壓力</w:t>
            </w:r>
          </w:p>
        </w:tc>
        <w:tc>
          <w:tcPr>
            <w:tcW w:w="0" w:type="auto"/>
            <w:vAlign w:val="center"/>
            <w:hideMark/>
          </w:tcPr>
          <w:p w14:paraId="6B241FD8" w14:textId="77777777" w:rsidR="00477C38" w:rsidRPr="000165DC" w:rsidRDefault="00477C38" w:rsidP="00D06417">
            <w:pPr>
              <w:rPr>
                <w:rFonts w:ascii="標楷體" w:eastAsia="標楷體" w:hAnsi="標楷體"/>
              </w:rPr>
            </w:pPr>
            <w:r w:rsidRPr="000165DC">
              <w:rPr>
                <w:rFonts w:ascii="標楷體" w:eastAsia="標楷體" w:hAnsi="標楷體"/>
              </w:rPr>
              <w:t>嚴重。因人口老化、</w:t>
            </w:r>
            <w:proofErr w:type="gramStart"/>
            <w:r w:rsidRPr="000165DC">
              <w:rPr>
                <w:rFonts w:ascii="標楷體" w:eastAsia="標楷體" w:hAnsi="標楷體"/>
              </w:rPr>
              <w:t>少子化</w:t>
            </w:r>
            <w:proofErr w:type="gramEnd"/>
            <w:r w:rsidRPr="000165DC">
              <w:rPr>
                <w:rFonts w:ascii="標楷體" w:eastAsia="標楷體" w:hAnsi="標楷體"/>
              </w:rPr>
              <w:t>，領取人數增加、繳納人數減少，以及醫療成本上升等因素，造成勞保基金財務缺口持續擴大，恐有破產危機。</w:t>
            </w:r>
          </w:p>
        </w:tc>
        <w:tc>
          <w:tcPr>
            <w:tcW w:w="0" w:type="auto"/>
            <w:vAlign w:val="center"/>
            <w:hideMark/>
          </w:tcPr>
          <w:p w14:paraId="63E6A2B8" w14:textId="77777777" w:rsidR="00477C38" w:rsidRPr="000165DC" w:rsidRDefault="00477C38" w:rsidP="00D06417">
            <w:pPr>
              <w:rPr>
                <w:rFonts w:ascii="標楷體" w:eastAsia="標楷體" w:hAnsi="標楷體"/>
              </w:rPr>
            </w:pPr>
            <w:r w:rsidRPr="000165DC">
              <w:rPr>
                <w:rFonts w:ascii="標楷體" w:eastAsia="標楷體" w:hAnsi="標楷體"/>
              </w:rPr>
              <w:t>減輕。新制透過個人帳戶的累積，將部分財務壓力轉移給個人。但仍需考量投資績效及市場波動風險。</w:t>
            </w:r>
          </w:p>
        </w:tc>
      </w:tr>
      <w:tr w:rsidR="00477C38" w:rsidRPr="000165DC" w14:paraId="43BA714C" w14:textId="77777777" w:rsidTr="00D06417">
        <w:trPr>
          <w:tblCellSpacing w:w="15" w:type="dxa"/>
        </w:trPr>
        <w:tc>
          <w:tcPr>
            <w:tcW w:w="0" w:type="auto"/>
            <w:vAlign w:val="center"/>
            <w:hideMark/>
          </w:tcPr>
          <w:p w14:paraId="0E762344" w14:textId="77777777" w:rsidR="00477C38" w:rsidRPr="000165DC" w:rsidRDefault="00477C38" w:rsidP="00D06417">
            <w:pPr>
              <w:rPr>
                <w:rFonts w:ascii="標楷體" w:eastAsia="標楷體" w:hAnsi="標楷體"/>
              </w:rPr>
            </w:pPr>
            <w:r w:rsidRPr="000165DC">
              <w:rPr>
                <w:rStyle w:val="a3"/>
                <w:rFonts w:ascii="標楷體" w:eastAsia="標楷體" w:hAnsi="標楷體"/>
              </w:rPr>
              <w:t>補充說明</w:t>
            </w:r>
          </w:p>
        </w:tc>
        <w:tc>
          <w:tcPr>
            <w:tcW w:w="0" w:type="auto"/>
            <w:vAlign w:val="center"/>
            <w:hideMark/>
          </w:tcPr>
          <w:p w14:paraId="653390B0" w14:textId="77777777" w:rsidR="00477C38" w:rsidRPr="000165DC" w:rsidRDefault="00477C38" w:rsidP="00D06417">
            <w:pPr>
              <w:rPr>
                <w:rFonts w:ascii="標楷體" w:eastAsia="標楷體" w:hAnsi="標楷體"/>
              </w:rPr>
            </w:pPr>
            <w:r w:rsidRPr="000165DC">
              <w:rPr>
                <w:rFonts w:ascii="標楷體" w:eastAsia="標楷體" w:hAnsi="標楷體"/>
              </w:rPr>
              <w:t>舊制勞保是「繳了多少領多少」的概念，但由於基金財務狀況不佳，未來給付金額可能降低。</w:t>
            </w:r>
          </w:p>
        </w:tc>
        <w:tc>
          <w:tcPr>
            <w:tcW w:w="0" w:type="auto"/>
            <w:vAlign w:val="center"/>
            <w:hideMark/>
          </w:tcPr>
          <w:p w14:paraId="0642977E" w14:textId="77777777" w:rsidR="00477C38" w:rsidRPr="000165DC" w:rsidRDefault="00477C38" w:rsidP="00D06417">
            <w:pPr>
              <w:rPr>
                <w:rFonts w:ascii="標楷體" w:eastAsia="標楷體" w:hAnsi="標楷體"/>
              </w:rPr>
            </w:pPr>
            <w:r w:rsidRPr="000165DC">
              <w:rPr>
                <w:rFonts w:ascii="標楷體" w:eastAsia="標楷體" w:hAnsi="標楷體"/>
              </w:rPr>
              <w:t>新制勞工退休金強調個人責任，鼓勵個人</w:t>
            </w:r>
            <w:proofErr w:type="gramStart"/>
            <w:r w:rsidRPr="000165DC">
              <w:rPr>
                <w:rFonts w:ascii="標楷體" w:eastAsia="標楷體" w:hAnsi="標楷體"/>
              </w:rPr>
              <w:t>提撥</w:t>
            </w:r>
            <w:proofErr w:type="gramEnd"/>
            <w:r w:rsidRPr="000165DC">
              <w:rPr>
                <w:rFonts w:ascii="標楷體" w:eastAsia="標楷體" w:hAnsi="標楷體"/>
              </w:rPr>
              <w:t>儲蓄，並提供多元的投資選項。但也意味著退休金的金額與個人</w:t>
            </w:r>
            <w:proofErr w:type="gramStart"/>
            <w:r w:rsidRPr="000165DC">
              <w:rPr>
                <w:rFonts w:ascii="標楷體" w:eastAsia="標楷體" w:hAnsi="標楷體"/>
              </w:rPr>
              <w:t>提撥</w:t>
            </w:r>
            <w:proofErr w:type="gramEnd"/>
            <w:r w:rsidRPr="000165DC">
              <w:rPr>
                <w:rFonts w:ascii="標楷體" w:eastAsia="標楷體" w:hAnsi="標楷體"/>
              </w:rPr>
              <w:t>金額及投資績效息息相關，存在一定風險。</w:t>
            </w:r>
          </w:p>
        </w:tc>
      </w:tr>
      <w:tr w:rsidR="00477C38" w:rsidRPr="000165DC" w14:paraId="737F7A1C" w14:textId="77777777" w:rsidTr="00D06417">
        <w:trPr>
          <w:tblCellSpacing w:w="15" w:type="dxa"/>
        </w:trPr>
        <w:tc>
          <w:tcPr>
            <w:tcW w:w="0" w:type="auto"/>
            <w:vAlign w:val="center"/>
            <w:hideMark/>
          </w:tcPr>
          <w:p w14:paraId="6299571C" w14:textId="77777777" w:rsidR="00477C38" w:rsidRPr="000165DC" w:rsidRDefault="00477C38" w:rsidP="00D06417">
            <w:pPr>
              <w:rPr>
                <w:rFonts w:ascii="標楷體" w:eastAsia="標楷體" w:hAnsi="標楷體"/>
              </w:rPr>
            </w:pPr>
            <w:r w:rsidRPr="000165DC">
              <w:rPr>
                <w:rStyle w:val="a3"/>
                <w:rFonts w:ascii="標楷體" w:eastAsia="標楷體" w:hAnsi="標楷體"/>
              </w:rPr>
              <w:t>補充說明2</w:t>
            </w:r>
          </w:p>
        </w:tc>
        <w:tc>
          <w:tcPr>
            <w:tcW w:w="0" w:type="auto"/>
            <w:vAlign w:val="center"/>
            <w:hideMark/>
          </w:tcPr>
          <w:p w14:paraId="2FAFB998" w14:textId="77777777" w:rsidR="00477C38" w:rsidRPr="000165DC" w:rsidRDefault="00477C38" w:rsidP="00D06417">
            <w:pPr>
              <w:rPr>
                <w:rFonts w:ascii="標楷體" w:eastAsia="標楷體" w:hAnsi="標楷體"/>
              </w:rPr>
            </w:pPr>
            <w:r w:rsidRPr="000165DC">
              <w:rPr>
                <w:rFonts w:ascii="標楷體" w:eastAsia="標楷體" w:hAnsi="標楷體"/>
              </w:rPr>
              <w:t>舊制勞保的給付方式為一次領或月退，領取後便無法更改。</w:t>
            </w:r>
          </w:p>
        </w:tc>
        <w:tc>
          <w:tcPr>
            <w:tcW w:w="0" w:type="auto"/>
            <w:vAlign w:val="center"/>
            <w:hideMark/>
          </w:tcPr>
          <w:p w14:paraId="036FCFB1" w14:textId="77777777" w:rsidR="00477C38" w:rsidRPr="000165DC" w:rsidRDefault="00477C38" w:rsidP="00D06417">
            <w:pPr>
              <w:rPr>
                <w:rFonts w:ascii="標楷體" w:eastAsia="標楷體" w:hAnsi="標楷體"/>
              </w:rPr>
            </w:pPr>
            <w:r w:rsidRPr="000165DC">
              <w:rPr>
                <w:rFonts w:ascii="標楷體" w:eastAsia="標楷體" w:hAnsi="標楷體"/>
              </w:rPr>
              <w:t>新制勞工退休金的給付方式更加多元，除了可選擇一次領、月退之外，還有年金式給付等選擇，可以根據個人需求彈性規劃。</w:t>
            </w:r>
          </w:p>
        </w:tc>
      </w:tr>
    </w:tbl>
    <w:p w14:paraId="7C7C88F1" w14:textId="77777777" w:rsidR="00477C38" w:rsidRPr="000165DC" w:rsidRDefault="00477C38" w:rsidP="00477C38">
      <w:pPr>
        <w:pStyle w:val="Web"/>
        <w:rPr>
          <w:rFonts w:ascii="標楷體" w:eastAsia="標楷體" w:hAnsi="標楷體"/>
        </w:rPr>
      </w:pPr>
      <w:r w:rsidRPr="000165DC">
        <w:rPr>
          <w:rStyle w:val="a3"/>
          <w:rFonts w:ascii="標楷體" w:eastAsia="標楷體" w:hAnsi="標楷體"/>
        </w:rPr>
        <w:t>總結：</w:t>
      </w:r>
    </w:p>
    <w:p w14:paraId="509E80A8" w14:textId="77777777" w:rsidR="00477C38" w:rsidRPr="000165DC" w:rsidRDefault="00477C38" w:rsidP="00477C38">
      <w:pPr>
        <w:pStyle w:val="Web"/>
        <w:rPr>
          <w:rFonts w:ascii="標楷體" w:eastAsia="標楷體" w:hAnsi="標楷體"/>
        </w:rPr>
      </w:pPr>
      <w:r w:rsidRPr="000165DC">
        <w:rPr>
          <w:rFonts w:ascii="標楷體" w:eastAsia="標楷體" w:hAnsi="標楷體"/>
        </w:rPr>
        <w:t>舊制勞保是政府主導的社會保險制度，強調互助與公平。新制勞工退休金則強調個人責任與多元選擇，希望減輕政府的財務壓力，並提供更彈性的退休規劃。然而，新制也將部分風險轉嫁給個人，需要個體具備一定的財務知識和投資能力。 台灣目前面臨人口結構轉變的挑戰，因此勞保制度的改革是一個持續進行的過程，需要政府、企業和個人共同努力，才能確保退休金制度的永續發展。</w:t>
      </w:r>
    </w:p>
    <w:p w14:paraId="1EEC6CED" w14:textId="4579C670" w:rsidR="00D021F4" w:rsidRPr="000165DC" w:rsidRDefault="00D021F4" w:rsidP="00D021F4">
      <w:pPr>
        <w:rPr>
          <w:rFonts w:ascii="標楷體" w:eastAsia="標楷體" w:hAnsi="標楷體"/>
          <w:b/>
          <w:bCs/>
          <w:color w:val="FF0000"/>
        </w:rPr>
      </w:pPr>
      <w:proofErr w:type="spellStart"/>
      <w:r w:rsidRPr="000165DC">
        <w:rPr>
          <w:rFonts w:ascii="標楷體" w:eastAsia="標楷體" w:hAnsi="標楷體"/>
          <w:b/>
          <w:bCs/>
          <w:color w:val="FF0000"/>
        </w:rPr>
        <w:lastRenderedPageBreak/>
        <w:t>Nemotron</w:t>
      </w:r>
      <w:proofErr w:type="spellEnd"/>
      <w:r w:rsidRPr="000165DC">
        <w:rPr>
          <w:rFonts w:ascii="標楷體" w:eastAsia="標楷體" w:hAnsi="標楷體"/>
          <w:b/>
          <w:bCs/>
          <w:color w:val="FF0000"/>
        </w:rPr>
        <w:t xml:space="preserve"> 49B</w:t>
      </w:r>
    </w:p>
    <w:p w14:paraId="545E7A12" w14:textId="77777777" w:rsidR="00477C38" w:rsidRPr="000165DC" w:rsidRDefault="00477C38" w:rsidP="00477C38">
      <w:pPr>
        <w:pStyle w:val="Web"/>
        <w:numPr>
          <w:ilvl w:val="0"/>
          <w:numId w:val="6"/>
        </w:numPr>
        <w:rPr>
          <w:rFonts w:ascii="標楷體" w:eastAsia="標楷體" w:hAnsi="標楷體"/>
        </w:rPr>
      </w:pPr>
      <w:r w:rsidRPr="000165DC">
        <w:rPr>
          <w:rStyle w:val="a3"/>
          <w:rFonts w:ascii="標楷體" w:eastAsia="標楷體" w:hAnsi="標楷體" w:hint="eastAsia"/>
        </w:rPr>
        <w:t>財政學中政府干預社會保障金市場的理論根據：</w:t>
      </w:r>
    </w:p>
    <w:p w14:paraId="477DE45F" w14:textId="77777777" w:rsidR="00477C38" w:rsidRPr="000165DC" w:rsidRDefault="00477C38" w:rsidP="00477C38">
      <w:pPr>
        <w:widowControl/>
        <w:numPr>
          <w:ilvl w:val="1"/>
          <w:numId w:val="6"/>
        </w:numPr>
        <w:spacing w:before="100" w:beforeAutospacing="1" w:after="100" w:afterAutospacing="1" w:line="240" w:lineRule="auto"/>
        <w:rPr>
          <w:rFonts w:ascii="標楷體" w:eastAsia="標楷體" w:hAnsi="標楷體" w:hint="eastAsia"/>
        </w:rPr>
      </w:pPr>
      <w:r w:rsidRPr="000165DC">
        <w:rPr>
          <w:rStyle w:val="a3"/>
          <w:rFonts w:ascii="標楷體" w:eastAsia="標楷體" w:hAnsi="標楷體" w:hint="eastAsia"/>
        </w:rPr>
        <w:t>市場失靈修正</w:t>
      </w:r>
      <w:r w:rsidRPr="000165DC">
        <w:rPr>
          <w:rFonts w:ascii="標楷體" w:eastAsia="標楷體" w:hAnsi="標楷體" w:hint="eastAsia"/>
        </w:rPr>
        <w:t>：情報不對稱、道德危機</w:t>
      </w:r>
      <w:proofErr w:type="gramStart"/>
      <w:r w:rsidRPr="000165DC">
        <w:rPr>
          <w:rFonts w:ascii="標楷體" w:eastAsia="標楷體" w:hAnsi="標楷體" w:hint="eastAsia"/>
        </w:rPr>
        <w:t>（</w:t>
      </w:r>
      <w:proofErr w:type="gramEnd"/>
      <w:r w:rsidRPr="000165DC">
        <w:rPr>
          <w:rFonts w:ascii="標楷體" w:eastAsia="標楷體" w:hAnsi="標楷體"/>
        </w:rPr>
        <w:t xml:space="preserve">e.g., </w:t>
      </w:r>
      <w:r w:rsidRPr="000165DC">
        <w:rPr>
          <w:rFonts w:ascii="標楷體" w:eastAsia="標楷體" w:hAnsi="標楷體" w:hint="eastAsia"/>
        </w:rPr>
        <w:t>保險市場）、公益品性（社會保障的公共性）。</w:t>
      </w:r>
    </w:p>
    <w:p w14:paraId="43AEF690" w14:textId="77777777" w:rsidR="00477C38" w:rsidRPr="000165DC" w:rsidRDefault="00477C38" w:rsidP="00477C38">
      <w:pPr>
        <w:widowControl/>
        <w:numPr>
          <w:ilvl w:val="1"/>
          <w:numId w:val="6"/>
        </w:numPr>
        <w:spacing w:before="100" w:beforeAutospacing="1" w:after="100" w:afterAutospacing="1" w:line="240" w:lineRule="auto"/>
        <w:rPr>
          <w:rFonts w:ascii="標楷體" w:eastAsia="標楷體" w:hAnsi="標楷體"/>
        </w:rPr>
      </w:pPr>
      <w:r w:rsidRPr="000165DC">
        <w:rPr>
          <w:rStyle w:val="a3"/>
          <w:rFonts w:ascii="標楷體" w:eastAsia="標楷體" w:hAnsi="標楷體" w:hint="eastAsia"/>
        </w:rPr>
        <w:t>再分配政策</w:t>
      </w:r>
      <w:r w:rsidRPr="000165DC">
        <w:rPr>
          <w:rFonts w:ascii="標楷體" w:eastAsia="標楷體" w:hAnsi="標楷體" w:hint="eastAsia"/>
        </w:rPr>
        <w:t>：減少貧困、促進社會公平（進步稅制與轉移支付）。</w:t>
      </w:r>
    </w:p>
    <w:p w14:paraId="2A35DB4A" w14:textId="77777777" w:rsidR="00477C38" w:rsidRPr="000165DC" w:rsidRDefault="00477C38" w:rsidP="00477C38">
      <w:pPr>
        <w:widowControl/>
        <w:numPr>
          <w:ilvl w:val="1"/>
          <w:numId w:val="6"/>
        </w:numPr>
        <w:spacing w:before="100" w:beforeAutospacing="1" w:after="100" w:afterAutospacing="1" w:line="240" w:lineRule="auto"/>
        <w:rPr>
          <w:rFonts w:ascii="標楷體" w:eastAsia="標楷體" w:hAnsi="標楷體"/>
        </w:rPr>
      </w:pPr>
      <w:r w:rsidRPr="000165DC">
        <w:rPr>
          <w:rStyle w:val="a3"/>
          <w:rFonts w:ascii="標楷體" w:eastAsia="標楷體" w:hAnsi="標楷體" w:hint="eastAsia"/>
        </w:rPr>
        <w:t>人力資本投資</w:t>
      </w:r>
      <w:r w:rsidRPr="000165DC">
        <w:rPr>
          <w:rFonts w:ascii="標楷體" w:eastAsia="標楷體" w:hAnsi="標楷體" w:hint="eastAsia"/>
        </w:rPr>
        <w:t>：鼓勵勞動力培訓、提升經濟競爭力。</w:t>
      </w:r>
    </w:p>
    <w:p w14:paraId="6F2A6BB7" w14:textId="77777777" w:rsidR="00477C38" w:rsidRPr="000165DC" w:rsidRDefault="00477C38" w:rsidP="00477C38">
      <w:pPr>
        <w:widowControl/>
        <w:numPr>
          <w:ilvl w:val="1"/>
          <w:numId w:val="6"/>
        </w:numPr>
        <w:spacing w:before="100" w:beforeAutospacing="1" w:after="100" w:afterAutospacing="1" w:line="240" w:lineRule="auto"/>
        <w:rPr>
          <w:rFonts w:ascii="標楷體" w:eastAsia="標楷體" w:hAnsi="標楷體"/>
        </w:rPr>
      </w:pPr>
      <w:r w:rsidRPr="000165DC">
        <w:rPr>
          <w:rStyle w:val="a3"/>
          <w:rFonts w:ascii="標楷體" w:eastAsia="標楷體" w:hAnsi="標楷體" w:hint="eastAsia"/>
        </w:rPr>
        <w:t>宏觀經濟穩定</w:t>
      </w:r>
      <w:r w:rsidRPr="000165DC">
        <w:rPr>
          <w:rFonts w:ascii="標楷體" w:eastAsia="標楷體" w:hAnsi="標楷體" w:hint="eastAsia"/>
        </w:rPr>
        <w:t>：通過退休金投資影響資本市場、平滑生命周期消費。</w:t>
      </w:r>
    </w:p>
    <w:p w14:paraId="49733069" w14:textId="77777777" w:rsidR="00477C38" w:rsidRPr="000165DC" w:rsidRDefault="00477C38" w:rsidP="00477C38">
      <w:pPr>
        <w:widowControl/>
        <w:numPr>
          <w:ilvl w:val="1"/>
          <w:numId w:val="6"/>
        </w:numPr>
        <w:spacing w:before="100" w:beforeAutospacing="1" w:after="100" w:afterAutospacing="1" w:line="240" w:lineRule="auto"/>
        <w:rPr>
          <w:rFonts w:ascii="標楷體" w:eastAsia="標楷體" w:hAnsi="標楷體"/>
        </w:rPr>
      </w:pPr>
      <w:r w:rsidRPr="000165DC">
        <w:rPr>
          <w:rStyle w:val="a3"/>
          <w:rFonts w:ascii="標楷體" w:eastAsia="標楷體" w:hAnsi="標楷體" w:hint="eastAsia"/>
        </w:rPr>
        <w:t>制度補充</w:t>
      </w:r>
      <w:r w:rsidRPr="000165DC">
        <w:rPr>
          <w:rFonts w:ascii="標楷體" w:eastAsia="標楷體" w:hAnsi="標楷體" w:hint="eastAsia"/>
        </w:rPr>
        <w:t>：填補私人市場保險覆蓋不足</w:t>
      </w:r>
      <w:proofErr w:type="gramStart"/>
      <w:r w:rsidRPr="000165DC">
        <w:rPr>
          <w:rFonts w:ascii="標楷體" w:eastAsia="標楷體" w:hAnsi="標楷體" w:hint="eastAsia"/>
        </w:rPr>
        <w:t>（</w:t>
      </w:r>
      <w:proofErr w:type="gramEnd"/>
      <w:r w:rsidRPr="000165DC">
        <w:rPr>
          <w:rFonts w:ascii="標楷體" w:eastAsia="標楷體" w:hAnsi="標楷體"/>
        </w:rPr>
        <w:t xml:space="preserve">e.g., </w:t>
      </w:r>
      <w:r w:rsidRPr="000165DC">
        <w:rPr>
          <w:rFonts w:ascii="標楷體" w:eastAsia="標楷體" w:hAnsi="標楷體" w:hint="eastAsia"/>
        </w:rPr>
        <w:t>老年保障缺口）。</w:t>
      </w:r>
    </w:p>
    <w:p w14:paraId="6314F965" w14:textId="77777777" w:rsidR="00477C38" w:rsidRPr="000165DC" w:rsidRDefault="00477C38" w:rsidP="00477C38">
      <w:pPr>
        <w:pStyle w:val="Web"/>
        <w:numPr>
          <w:ilvl w:val="0"/>
          <w:numId w:val="6"/>
        </w:numPr>
        <w:rPr>
          <w:rFonts w:ascii="標楷體" w:eastAsia="標楷體" w:hAnsi="標楷體"/>
        </w:rPr>
      </w:pPr>
      <w:r w:rsidRPr="000165DC">
        <w:rPr>
          <w:rStyle w:val="a3"/>
          <w:rFonts w:ascii="標楷體" w:eastAsia="標楷體" w:hAnsi="標楷體" w:hint="eastAsia"/>
        </w:rPr>
        <w:t>我國勞保退休金與新制勞工退休金比較：</w:t>
      </w:r>
    </w:p>
    <w:tbl>
      <w:tblPr>
        <w:tblW w:w="0" w:type="auto"/>
        <w:tblCellSpacing w:w="15" w:type="dxa"/>
        <w:tblInd w:w="720" w:type="dxa"/>
        <w:tblLook w:val="04A0" w:firstRow="1" w:lastRow="0" w:firstColumn="1" w:lastColumn="0" w:noHBand="0" w:noVBand="1"/>
      </w:tblPr>
      <w:tblGrid>
        <w:gridCol w:w="771"/>
        <w:gridCol w:w="3922"/>
        <w:gridCol w:w="2983"/>
      </w:tblGrid>
      <w:tr w:rsidR="00477C38" w:rsidRPr="000165DC" w14:paraId="7DD93F70" w14:textId="77777777" w:rsidTr="00477C38">
        <w:trPr>
          <w:tblHeader/>
          <w:tblCellSpacing w:w="15" w:type="dxa"/>
        </w:trPr>
        <w:tc>
          <w:tcPr>
            <w:tcW w:w="0" w:type="auto"/>
            <w:tcMar>
              <w:top w:w="15" w:type="dxa"/>
              <w:left w:w="15" w:type="dxa"/>
              <w:bottom w:w="15" w:type="dxa"/>
              <w:right w:w="15" w:type="dxa"/>
            </w:tcMar>
            <w:vAlign w:val="center"/>
            <w:hideMark/>
          </w:tcPr>
          <w:p w14:paraId="36B07BF2" w14:textId="77777777" w:rsidR="00477C38" w:rsidRPr="000165DC" w:rsidRDefault="00477C38">
            <w:pPr>
              <w:jc w:val="center"/>
              <w:rPr>
                <w:rFonts w:ascii="標楷體" w:eastAsia="標楷體" w:hAnsi="標楷體" w:hint="eastAsia"/>
                <w:b/>
                <w:bCs/>
              </w:rPr>
            </w:pPr>
            <w:r w:rsidRPr="000165DC">
              <w:rPr>
                <w:rStyle w:val="a3"/>
                <w:rFonts w:ascii="標楷體" w:eastAsia="標楷體" w:hAnsi="標楷體" w:hint="eastAsia"/>
              </w:rPr>
              <w:t>面向</w:t>
            </w:r>
          </w:p>
        </w:tc>
        <w:tc>
          <w:tcPr>
            <w:tcW w:w="0" w:type="auto"/>
            <w:tcMar>
              <w:top w:w="15" w:type="dxa"/>
              <w:left w:w="15" w:type="dxa"/>
              <w:bottom w:w="15" w:type="dxa"/>
              <w:right w:w="15" w:type="dxa"/>
            </w:tcMar>
            <w:vAlign w:val="center"/>
            <w:hideMark/>
          </w:tcPr>
          <w:p w14:paraId="2B8FCE1A" w14:textId="77777777" w:rsidR="00477C38" w:rsidRPr="000165DC" w:rsidRDefault="00477C38">
            <w:pPr>
              <w:jc w:val="center"/>
              <w:rPr>
                <w:rFonts w:ascii="標楷體" w:eastAsia="標楷體" w:hAnsi="標楷體"/>
                <w:b/>
                <w:bCs/>
              </w:rPr>
            </w:pPr>
            <w:r w:rsidRPr="000165DC">
              <w:rPr>
                <w:rStyle w:val="a3"/>
                <w:rFonts w:ascii="標楷體" w:eastAsia="標楷體" w:hAnsi="標楷體" w:hint="eastAsia"/>
              </w:rPr>
              <w:t>勞保退休金（舊制）</w:t>
            </w:r>
          </w:p>
        </w:tc>
        <w:tc>
          <w:tcPr>
            <w:tcW w:w="0" w:type="auto"/>
            <w:tcMar>
              <w:top w:w="15" w:type="dxa"/>
              <w:left w:w="15" w:type="dxa"/>
              <w:bottom w:w="15" w:type="dxa"/>
              <w:right w:w="15" w:type="dxa"/>
            </w:tcMar>
            <w:vAlign w:val="center"/>
            <w:hideMark/>
          </w:tcPr>
          <w:p w14:paraId="46E29775" w14:textId="77777777" w:rsidR="00477C38" w:rsidRPr="000165DC" w:rsidRDefault="00477C38">
            <w:pPr>
              <w:jc w:val="center"/>
              <w:rPr>
                <w:rFonts w:ascii="標楷體" w:eastAsia="標楷體" w:hAnsi="標楷體"/>
                <w:b/>
                <w:bCs/>
              </w:rPr>
            </w:pPr>
            <w:r w:rsidRPr="000165DC">
              <w:rPr>
                <w:rStyle w:val="a3"/>
                <w:rFonts w:ascii="標楷體" w:eastAsia="標楷體" w:hAnsi="標楷體" w:hint="eastAsia"/>
              </w:rPr>
              <w:t>新制勞工退休金</w:t>
            </w:r>
          </w:p>
        </w:tc>
      </w:tr>
      <w:tr w:rsidR="00477C38" w:rsidRPr="000165DC" w14:paraId="73822DA7" w14:textId="77777777" w:rsidTr="00477C38">
        <w:trPr>
          <w:tblCellSpacing w:w="15" w:type="dxa"/>
        </w:trPr>
        <w:tc>
          <w:tcPr>
            <w:tcW w:w="0" w:type="auto"/>
            <w:tcMar>
              <w:top w:w="15" w:type="dxa"/>
              <w:left w:w="15" w:type="dxa"/>
              <w:bottom w:w="15" w:type="dxa"/>
              <w:right w:w="15" w:type="dxa"/>
            </w:tcMar>
            <w:vAlign w:val="center"/>
            <w:hideMark/>
          </w:tcPr>
          <w:p w14:paraId="1263A706" w14:textId="77777777" w:rsidR="00477C38" w:rsidRPr="000165DC" w:rsidRDefault="00477C38">
            <w:pPr>
              <w:rPr>
                <w:rFonts w:ascii="標楷體" w:eastAsia="標楷體" w:hAnsi="標楷體"/>
              </w:rPr>
            </w:pPr>
            <w:r w:rsidRPr="000165DC">
              <w:rPr>
                <w:rStyle w:val="a3"/>
                <w:rFonts w:ascii="標楷體" w:eastAsia="標楷體" w:hAnsi="標楷體" w:hint="eastAsia"/>
              </w:rPr>
              <w:t>給付制度</w:t>
            </w:r>
          </w:p>
        </w:tc>
        <w:tc>
          <w:tcPr>
            <w:tcW w:w="0" w:type="auto"/>
            <w:tcMar>
              <w:top w:w="15" w:type="dxa"/>
              <w:left w:w="15" w:type="dxa"/>
              <w:bottom w:w="15" w:type="dxa"/>
              <w:right w:w="15" w:type="dxa"/>
            </w:tcMar>
            <w:vAlign w:val="center"/>
            <w:hideMark/>
          </w:tcPr>
          <w:p w14:paraId="140B440F" w14:textId="77777777" w:rsidR="00477C38" w:rsidRPr="000165DC" w:rsidRDefault="00477C38">
            <w:pPr>
              <w:rPr>
                <w:rFonts w:ascii="標楷體" w:eastAsia="標楷體" w:hAnsi="標楷體"/>
              </w:rPr>
            </w:pPr>
            <w:r w:rsidRPr="000165DC">
              <w:rPr>
                <w:rStyle w:val="a3"/>
                <w:rFonts w:ascii="標楷體" w:eastAsia="標楷體" w:hAnsi="標楷體" w:hint="eastAsia"/>
              </w:rPr>
              <w:t>年金制</w:t>
            </w:r>
            <w:r w:rsidRPr="000165DC">
              <w:rPr>
                <w:rFonts w:ascii="標楷體" w:eastAsia="標楷體" w:hAnsi="標楷體" w:hint="eastAsia"/>
              </w:rPr>
              <w:t>（按服務年資、保險薪資計算月退休金）</w:t>
            </w:r>
          </w:p>
        </w:tc>
        <w:tc>
          <w:tcPr>
            <w:tcW w:w="0" w:type="auto"/>
            <w:tcMar>
              <w:top w:w="15" w:type="dxa"/>
              <w:left w:w="15" w:type="dxa"/>
              <w:bottom w:w="15" w:type="dxa"/>
              <w:right w:w="15" w:type="dxa"/>
            </w:tcMar>
            <w:vAlign w:val="center"/>
            <w:hideMark/>
          </w:tcPr>
          <w:p w14:paraId="0F3EB3BE" w14:textId="77777777" w:rsidR="00477C38" w:rsidRPr="000165DC" w:rsidRDefault="00477C38">
            <w:pPr>
              <w:rPr>
                <w:rFonts w:ascii="標楷體" w:eastAsia="標楷體" w:hAnsi="標楷體"/>
              </w:rPr>
            </w:pPr>
            <w:r w:rsidRPr="000165DC">
              <w:rPr>
                <w:rStyle w:val="a3"/>
                <w:rFonts w:ascii="標楷體" w:eastAsia="標楷體" w:hAnsi="標楷體" w:hint="eastAsia"/>
              </w:rPr>
              <w:t>個人帳戶制</w:t>
            </w:r>
            <w:r w:rsidRPr="000165DC">
              <w:rPr>
                <w:rFonts w:ascii="標楷體" w:eastAsia="標楷體" w:hAnsi="標楷體" w:hint="eastAsia"/>
              </w:rPr>
              <w:t>（個人積蓄</w:t>
            </w:r>
            <w:r w:rsidRPr="000165DC">
              <w:rPr>
                <w:rFonts w:ascii="標楷體" w:eastAsia="標楷體" w:hAnsi="標楷體"/>
              </w:rPr>
              <w:t>+</w:t>
            </w:r>
            <w:r w:rsidRPr="000165DC">
              <w:rPr>
                <w:rFonts w:ascii="標楷體" w:eastAsia="標楷體" w:hAnsi="標楷體" w:hint="eastAsia"/>
              </w:rPr>
              <w:t>雇主補助</w:t>
            </w:r>
            <w:r w:rsidRPr="000165DC">
              <w:rPr>
                <w:rFonts w:ascii="標楷體" w:eastAsia="標楷體" w:hAnsi="標楷體"/>
              </w:rPr>
              <w:t>+</w:t>
            </w:r>
            <w:r w:rsidRPr="000165DC">
              <w:rPr>
                <w:rFonts w:ascii="標楷體" w:eastAsia="標楷體" w:hAnsi="標楷體" w:hint="eastAsia"/>
              </w:rPr>
              <w:t>利息）</w:t>
            </w:r>
          </w:p>
        </w:tc>
      </w:tr>
      <w:tr w:rsidR="00477C38" w:rsidRPr="000165DC" w14:paraId="7B573B90" w14:textId="77777777" w:rsidTr="00477C38">
        <w:trPr>
          <w:tblCellSpacing w:w="15" w:type="dxa"/>
        </w:trPr>
        <w:tc>
          <w:tcPr>
            <w:tcW w:w="0" w:type="auto"/>
            <w:tcMar>
              <w:top w:w="15" w:type="dxa"/>
              <w:left w:w="15" w:type="dxa"/>
              <w:bottom w:w="15" w:type="dxa"/>
              <w:right w:w="15" w:type="dxa"/>
            </w:tcMar>
            <w:vAlign w:val="center"/>
            <w:hideMark/>
          </w:tcPr>
          <w:p w14:paraId="641E5142" w14:textId="77777777" w:rsidR="00477C38" w:rsidRPr="000165DC" w:rsidRDefault="00477C38">
            <w:pPr>
              <w:rPr>
                <w:rFonts w:ascii="標楷體" w:eastAsia="標楷體" w:hAnsi="標楷體"/>
              </w:rPr>
            </w:pPr>
            <w:r w:rsidRPr="000165DC">
              <w:rPr>
                <w:rStyle w:val="a3"/>
                <w:rFonts w:ascii="標楷體" w:eastAsia="標楷體" w:hAnsi="標楷體" w:hint="eastAsia"/>
              </w:rPr>
              <w:t>計算方式</w:t>
            </w:r>
          </w:p>
        </w:tc>
        <w:tc>
          <w:tcPr>
            <w:tcW w:w="0" w:type="auto"/>
            <w:tcMar>
              <w:top w:w="15" w:type="dxa"/>
              <w:left w:w="15" w:type="dxa"/>
              <w:bottom w:w="15" w:type="dxa"/>
              <w:right w:w="15" w:type="dxa"/>
            </w:tcMar>
            <w:vAlign w:val="center"/>
            <w:hideMark/>
          </w:tcPr>
          <w:p w14:paraId="7A2038E6" w14:textId="77777777" w:rsidR="00477C38" w:rsidRPr="000165DC" w:rsidRDefault="00477C38">
            <w:pPr>
              <w:rPr>
                <w:rFonts w:ascii="標楷體" w:eastAsia="標楷體" w:hAnsi="標楷體"/>
              </w:rPr>
            </w:pPr>
            <w:r w:rsidRPr="000165DC">
              <w:rPr>
                <w:rFonts w:ascii="標楷體" w:eastAsia="標楷體" w:hAnsi="標楷體" w:hint="eastAsia"/>
              </w:rPr>
              <w:t>最高</w:t>
            </w:r>
            <w:r w:rsidRPr="000165DC">
              <w:rPr>
                <w:rFonts w:ascii="標楷體" w:eastAsia="標楷體" w:hAnsi="標楷體"/>
              </w:rPr>
              <w:t>12</w:t>
            </w:r>
            <w:r w:rsidRPr="000165DC">
              <w:rPr>
                <w:rFonts w:ascii="標楷體" w:eastAsia="標楷體" w:hAnsi="標楷體" w:hint="eastAsia"/>
              </w:rPr>
              <w:t>個月保險薪資</w:t>
            </w:r>
            <w:r w:rsidRPr="000165DC">
              <w:rPr>
                <w:rFonts w:ascii="標楷體" w:eastAsia="標楷體" w:hAnsi="標楷體"/>
              </w:rPr>
              <w:t>×</w:t>
            </w:r>
            <w:r w:rsidRPr="000165DC">
              <w:rPr>
                <w:rFonts w:ascii="標楷體" w:eastAsia="標楷體" w:hAnsi="標楷體" w:hint="eastAsia"/>
              </w:rPr>
              <w:t>服務年資</w:t>
            </w:r>
            <w:r w:rsidRPr="000165DC">
              <w:rPr>
                <w:rFonts w:ascii="標楷體" w:eastAsia="標楷體" w:hAnsi="標楷體"/>
              </w:rPr>
              <w:t>×</w:t>
            </w:r>
            <w:r w:rsidRPr="000165DC">
              <w:rPr>
                <w:rFonts w:ascii="標楷體" w:eastAsia="標楷體" w:hAnsi="標楷體" w:hint="eastAsia"/>
              </w:rPr>
              <w:t>給付率（最高</w:t>
            </w:r>
            <w:r w:rsidRPr="000165DC">
              <w:rPr>
                <w:rFonts w:ascii="標楷體" w:eastAsia="標楷體" w:hAnsi="標楷體"/>
              </w:rPr>
              <w:t>55%</w:t>
            </w:r>
            <w:r w:rsidRPr="000165DC">
              <w:rPr>
                <w:rFonts w:ascii="標楷體" w:eastAsia="標楷體" w:hAnsi="標楷體" w:hint="eastAsia"/>
              </w:rPr>
              <w:t>）</w:t>
            </w:r>
          </w:p>
        </w:tc>
        <w:tc>
          <w:tcPr>
            <w:tcW w:w="0" w:type="auto"/>
            <w:tcMar>
              <w:top w:w="15" w:type="dxa"/>
              <w:left w:w="15" w:type="dxa"/>
              <w:bottom w:w="15" w:type="dxa"/>
              <w:right w:w="15" w:type="dxa"/>
            </w:tcMar>
            <w:vAlign w:val="center"/>
            <w:hideMark/>
          </w:tcPr>
          <w:p w14:paraId="4133CD49" w14:textId="77777777" w:rsidR="00477C38" w:rsidRPr="000165DC" w:rsidRDefault="00477C38">
            <w:pPr>
              <w:rPr>
                <w:rFonts w:ascii="標楷體" w:eastAsia="標楷體" w:hAnsi="標楷體"/>
              </w:rPr>
            </w:pPr>
            <w:r w:rsidRPr="000165DC">
              <w:rPr>
                <w:rFonts w:ascii="標楷體" w:eastAsia="標楷體" w:hAnsi="標楷體" w:hint="eastAsia"/>
              </w:rPr>
              <w:t>個人帳戶餘額按年金化或一次領取</w:t>
            </w:r>
          </w:p>
        </w:tc>
      </w:tr>
      <w:tr w:rsidR="00477C38" w:rsidRPr="000165DC" w14:paraId="5361A636" w14:textId="77777777" w:rsidTr="00477C38">
        <w:trPr>
          <w:tblCellSpacing w:w="15" w:type="dxa"/>
        </w:trPr>
        <w:tc>
          <w:tcPr>
            <w:tcW w:w="0" w:type="auto"/>
            <w:tcMar>
              <w:top w:w="15" w:type="dxa"/>
              <w:left w:w="15" w:type="dxa"/>
              <w:bottom w:w="15" w:type="dxa"/>
              <w:right w:w="15" w:type="dxa"/>
            </w:tcMar>
            <w:vAlign w:val="center"/>
            <w:hideMark/>
          </w:tcPr>
          <w:p w14:paraId="5C94FF8B" w14:textId="77777777" w:rsidR="00477C38" w:rsidRPr="000165DC" w:rsidRDefault="00477C38">
            <w:pPr>
              <w:rPr>
                <w:rFonts w:ascii="標楷體" w:eastAsia="標楷體" w:hAnsi="標楷體"/>
              </w:rPr>
            </w:pPr>
            <w:r w:rsidRPr="000165DC">
              <w:rPr>
                <w:rStyle w:val="a3"/>
                <w:rFonts w:ascii="標楷體" w:eastAsia="標楷體" w:hAnsi="標楷體" w:hint="eastAsia"/>
              </w:rPr>
              <w:t>財務壓力</w:t>
            </w:r>
          </w:p>
        </w:tc>
        <w:tc>
          <w:tcPr>
            <w:tcW w:w="0" w:type="auto"/>
            <w:tcMar>
              <w:top w:w="15" w:type="dxa"/>
              <w:left w:w="15" w:type="dxa"/>
              <w:bottom w:w="15" w:type="dxa"/>
              <w:right w:w="15" w:type="dxa"/>
            </w:tcMar>
            <w:vAlign w:val="center"/>
            <w:hideMark/>
          </w:tcPr>
          <w:p w14:paraId="5B1C57A1" w14:textId="77777777" w:rsidR="00477C38" w:rsidRPr="000165DC" w:rsidRDefault="00477C38">
            <w:pPr>
              <w:rPr>
                <w:rFonts w:ascii="標楷體" w:eastAsia="標楷體" w:hAnsi="標楷體"/>
              </w:rPr>
            </w:pPr>
            <w:r w:rsidRPr="000165DC">
              <w:rPr>
                <w:rStyle w:val="a3"/>
                <w:rFonts w:ascii="標楷體" w:eastAsia="標楷體" w:hAnsi="標楷體" w:hint="eastAsia"/>
              </w:rPr>
              <w:t>負債累積</w:t>
            </w:r>
            <w:r w:rsidRPr="000165DC">
              <w:rPr>
                <w:rFonts w:ascii="標楷體" w:eastAsia="標楷體" w:hAnsi="標楷體" w:hint="eastAsia"/>
              </w:rPr>
              <w:t>（</w:t>
            </w:r>
            <w:r w:rsidRPr="000165DC">
              <w:rPr>
                <w:rFonts w:ascii="標楷體" w:eastAsia="標楷體" w:hAnsi="標楷體"/>
              </w:rPr>
              <w:t>-pay-as-you-go</w:t>
            </w:r>
            <w:r w:rsidRPr="000165DC">
              <w:rPr>
                <w:rFonts w:ascii="標楷體" w:eastAsia="標楷體" w:hAnsi="標楷體" w:hint="eastAsia"/>
              </w:rPr>
              <w:t>，老化人口導致財務不堪）</w:t>
            </w:r>
          </w:p>
        </w:tc>
        <w:tc>
          <w:tcPr>
            <w:tcW w:w="0" w:type="auto"/>
            <w:tcMar>
              <w:top w:w="15" w:type="dxa"/>
              <w:left w:w="15" w:type="dxa"/>
              <w:bottom w:w="15" w:type="dxa"/>
              <w:right w:w="15" w:type="dxa"/>
            </w:tcMar>
            <w:vAlign w:val="center"/>
            <w:hideMark/>
          </w:tcPr>
          <w:p w14:paraId="695A970C" w14:textId="77777777" w:rsidR="00477C38" w:rsidRPr="000165DC" w:rsidRDefault="00477C38">
            <w:pPr>
              <w:rPr>
                <w:rFonts w:ascii="標楷體" w:eastAsia="標楷體" w:hAnsi="標楷體"/>
              </w:rPr>
            </w:pPr>
            <w:r w:rsidRPr="000165DC">
              <w:rPr>
                <w:rStyle w:val="a3"/>
                <w:rFonts w:ascii="標楷體" w:eastAsia="標楷體" w:hAnsi="標楷體" w:hint="eastAsia"/>
              </w:rPr>
              <w:t>短期轉型成本</w:t>
            </w:r>
            <w:r w:rsidRPr="000165DC">
              <w:rPr>
                <w:rFonts w:ascii="標楷體" w:eastAsia="標楷體" w:hAnsi="標楷體" w:hint="eastAsia"/>
              </w:rPr>
              <w:t>（補助個人帳戶初期資金）</w:t>
            </w:r>
          </w:p>
        </w:tc>
      </w:tr>
    </w:tbl>
    <w:p w14:paraId="6432534F" w14:textId="77777777" w:rsidR="00477C38" w:rsidRPr="000165DC" w:rsidRDefault="00477C38" w:rsidP="00477C38">
      <w:pPr>
        <w:rPr>
          <w:rFonts w:ascii="標楷體" w:eastAsia="標楷體" w:hAnsi="標楷體"/>
          <w:szCs w:val="22"/>
        </w:rPr>
      </w:pPr>
    </w:p>
    <w:p w14:paraId="4C0BEC8E" w14:textId="77777777" w:rsidR="00D021F4" w:rsidRPr="000165DC" w:rsidRDefault="00D021F4" w:rsidP="00D021F4">
      <w:pPr>
        <w:rPr>
          <w:rFonts w:ascii="標楷體" w:eastAsia="標楷體" w:hAnsi="標楷體"/>
          <w:b/>
          <w:bCs/>
          <w:color w:val="FF0000"/>
        </w:rPr>
      </w:pPr>
    </w:p>
    <w:p w14:paraId="0C2D846C" w14:textId="5A50E8A2" w:rsidR="008A19C2" w:rsidRPr="000165DC" w:rsidRDefault="008A19C2" w:rsidP="00B6438F">
      <w:pPr>
        <w:rPr>
          <w:rFonts w:ascii="標楷體" w:eastAsia="標楷體" w:hAnsi="標楷體"/>
        </w:rPr>
      </w:pPr>
    </w:p>
    <w:p w14:paraId="107DEE6C" w14:textId="3CAB2593" w:rsidR="00D021F4" w:rsidRPr="000165DC" w:rsidRDefault="00D021F4" w:rsidP="00B6438F">
      <w:pPr>
        <w:rPr>
          <w:rFonts w:ascii="標楷體" w:eastAsia="標楷體" w:hAnsi="標楷體"/>
        </w:rPr>
      </w:pPr>
    </w:p>
    <w:sectPr w:rsidR="00D021F4" w:rsidRPr="000165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397"/>
    <w:multiLevelType w:val="multilevel"/>
    <w:tmpl w:val="C2C4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73A50"/>
    <w:multiLevelType w:val="multilevel"/>
    <w:tmpl w:val="A4C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34D5A"/>
    <w:multiLevelType w:val="multilevel"/>
    <w:tmpl w:val="78585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7D03C70"/>
    <w:multiLevelType w:val="multilevel"/>
    <w:tmpl w:val="B8DEC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3179B"/>
    <w:multiLevelType w:val="multilevel"/>
    <w:tmpl w:val="AB6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E0442"/>
    <w:multiLevelType w:val="multilevel"/>
    <w:tmpl w:val="EC8C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0"/>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71E6"/>
    <w:rsid w:val="000165DC"/>
    <w:rsid w:val="000171E6"/>
    <w:rsid w:val="00181371"/>
    <w:rsid w:val="002C6C1E"/>
    <w:rsid w:val="004649B4"/>
    <w:rsid w:val="00477C38"/>
    <w:rsid w:val="008A19C2"/>
    <w:rsid w:val="00B402BB"/>
    <w:rsid w:val="00B6438F"/>
    <w:rsid w:val="00C17E4E"/>
    <w:rsid w:val="00D02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917F"/>
  <w15:chartTrackingRefBased/>
  <w15:docId w15:val="{B8548DEA-7F16-4F13-91B0-A68F5CE9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semiHidden/>
    <w:unhideWhenUsed/>
    <w:qFormat/>
    <w:rsid w:val="00477C3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477C38"/>
    <w:pPr>
      <w:widowControl/>
      <w:spacing w:before="100" w:beforeAutospacing="1" w:after="100" w:afterAutospacing="1" w:line="240" w:lineRule="auto"/>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77C38"/>
    <w:rPr>
      <w:rFonts w:ascii="新細明體" w:eastAsia="新細明體" w:hAnsi="新細明體" w:cs="新細明體"/>
      <w:b/>
      <w:bCs/>
      <w:kern w:val="0"/>
      <w:sz w:val="27"/>
      <w:szCs w:val="27"/>
    </w:rPr>
  </w:style>
  <w:style w:type="paragraph" w:styleId="Web">
    <w:name w:val="Normal (Web)"/>
    <w:basedOn w:val="a"/>
    <w:uiPriority w:val="99"/>
    <w:semiHidden/>
    <w:unhideWhenUsed/>
    <w:rsid w:val="00477C38"/>
    <w:pPr>
      <w:widowControl/>
      <w:spacing w:before="100" w:beforeAutospacing="1" w:after="100" w:afterAutospacing="1" w:line="240" w:lineRule="auto"/>
    </w:pPr>
    <w:rPr>
      <w:rFonts w:ascii="新細明體" w:eastAsia="新細明體" w:hAnsi="新細明體" w:cs="新細明體"/>
      <w:kern w:val="0"/>
    </w:rPr>
  </w:style>
  <w:style w:type="character" w:styleId="a3">
    <w:name w:val="Strong"/>
    <w:basedOn w:val="a0"/>
    <w:uiPriority w:val="22"/>
    <w:qFormat/>
    <w:rsid w:val="00477C38"/>
    <w:rPr>
      <w:b/>
      <w:bCs/>
    </w:rPr>
  </w:style>
  <w:style w:type="character" w:customStyle="1" w:styleId="20">
    <w:name w:val="標題 2 字元"/>
    <w:basedOn w:val="a0"/>
    <w:link w:val="2"/>
    <w:uiPriority w:val="9"/>
    <w:semiHidden/>
    <w:rsid w:val="00477C3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7737">
      <w:bodyDiv w:val="1"/>
      <w:marLeft w:val="0"/>
      <w:marRight w:val="0"/>
      <w:marTop w:val="0"/>
      <w:marBottom w:val="0"/>
      <w:divBdr>
        <w:top w:val="none" w:sz="0" w:space="0" w:color="auto"/>
        <w:left w:val="none" w:sz="0" w:space="0" w:color="auto"/>
        <w:bottom w:val="none" w:sz="0" w:space="0" w:color="auto"/>
        <w:right w:val="none" w:sz="0" w:space="0" w:color="auto"/>
      </w:divBdr>
    </w:div>
    <w:div w:id="1043750795">
      <w:bodyDiv w:val="1"/>
      <w:marLeft w:val="0"/>
      <w:marRight w:val="0"/>
      <w:marTop w:val="0"/>
      <w:marBottom w:val="0"/>
      <w:divBdr>
        <w:top w:val="none" w:sz="0" w:space="0" w:color="auto"/>
        <w:left w:val="none" w:sz="0" w:space="0" w:color="auto"/>
        <w:bottom w:val="none" w:sz="0" w:space="0" w:color="auto"/>
        <w:right w:val="none" w:sz="0" w:space="0" w:color="auto"/>
      </w:divBdr>
      <w:divsChild>
        <w:div w:id="58132852">
          <w:marLeft w:val="0"/>
          <w:marRight w:val="0"/>
          <w:marTop w:val="0"/>
          <w:marBottom w:val="0"/>
          <w:divBdr>
            <w:top w:val="none" w:sz="0" w:space="0" w:color="auto"/>
            <w:left w:val="none" w:sz="0" w:space="0" w:color="auto"/>
            <w:bottom w:val="none" w:sz="0" w:space="0" w:color="auto"/>
            <w:right w:val="none" w:sz="0" w:space="0" w:color="auto"/>
          </w:divBdr>
          <w:divsChild>
            <w:div w:id="16219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626">
      <w:bodyDiv w:val="1"/>
      <w:marLeft w:val="0"/>
      <w:marRight w:val="0"/>
      <w:marTop w:val="0"/>
      <w:marBottom w:val="0"/>
      <w:divBdr>
        <w:top w:val="none" w:sz="0" w:space="0" w:color="auto"/>
        <w:left w:val="none" w:sz="0" w:space="0" w:color="auto"/>
        <w:bottom w:val="none" w:sz="0" w:space="0" w:color="auto"/>
        <w:right w:val="none" w:sz="0" w:space="0" w:color="auto"/>
      </w:divBdr>
    </w:div>
    <w:div w:id="15149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王聖文</dc:creator>
  <cp:keywords/>
  <dc:description/>
  <cp:lastModifiedBy>王聖文</cp:lastModifiedBy>
  <cp:revision>9</cp:revision>
  <dcterms:created xsi:type="dcterms:W3CDTF">2025-05-13T07:44:00Z</dcterms:created>
  <dcterms:modified xsi:type="dcterms:W3CDTF">2025-05-13T07:53:00Z</dcterms:modified>
</cp:coreProperties>
</file>