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Cassandra:</w:t>
      </w:r>
      <w:r>
        <w:t xml:space="preserve"> </w:t>
      </w:r>
      <w:r>
        <w:t xml:space="preserve">From</w:t>
      </w:r>
      <w:r>
        <w:t xml:space="preserve"> </w:t>
      </w:r>
      <w:r>
        <w:t xml:space="preserve">Governance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to</w:t>
      </w:r>
      <w:r>
        <w:t xml:space="preserve"> </w:t>
      </w:r>
      <w:r>
        <w:t xml:space="preserve">Evidence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Anton</w:t>
      </w:r>
      <w:r>
        <w:t xml:space="preserve"> </w:t>
      </w:r>
      <w:r>
        <w:t xml:space="preserve">Sokolov</w:t>
      </w:r>
    </w:p>
    <w:p>
      <w:pPr>
        <w:pStyle w:val="Date"/>
      </w:pPr>
      <w:r>
        <w:t xml:space="preserve">2026-05-27</w:t>
      </w:r>
    </w:p>
    <w:bookmarkStart w:id="37" w:name="X4be494ed4bddf7b7066ba0b7993eee1b34285b9"/>
    <w:p>
      <w:pPr>
        <w:pStyle w:val="Heading1"/>
      </w:pPr>
      <w:r>
        <w:t xml:space="preserve">Cassandra: From Governance Infrastructure to Evidence Infrastructure</w:t>
      </w:r>
    </w:p>
    <w:p>
      <w:pPr>
        <w:pStyle w:val="FirstParagraph"/>
      </w:pPr>
      <w:r>
        <w:t xml:space="preserve">Anton Sokolov</w:t>
      </w:r>
      <w:r>
        <w:br/>
      </w:r>
      <w:r>
        <w:t xml:space="preserve">Tyche Institute, Tallinn, Estonia</w:t>
      </w:r>
      <w:r>
        <w:br/>
      </w:r>
      <w:r>
        <w:t xml:space="preserve">v0.1 preprint candidate, 2026-05-27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Public-key infrastructure is often described as a cryptographic</w:t>
      </w:r>
      <w:r>
        <w:t xml:space="preserve"> </w:t>
      </w:r>
      <w:r>
        <w:t xml:space="preserve">substrate, but in practice it is also governance infrastructure: a</w:t>
      </w:r>
      <w:r>
        <w:t xml:space="preserve"> </w:t>
      </w:r>
      <w:r>
        <w:t xml:space="preserve">system of certificates, policies, revocation channels, trusted lists,</w:t>
      </w:r>
      <w:r>
        <w:t xml:space="preserve"> </w:t>
      </w:r>
      <w:r>
        <w:t xml:space="preserve">audits, supervisory conventions, software distribution, and institutional</w:t>
      </w:r>
      <w:r>
        <w:t xml:space="preserve"> </w:t>
      </w:r>
      <w:r>
        <w:t xml:space="preserve">delegation. This paper presents Cassandra, a bounded research</w:t>
      </w:r>
      <w:r>
        <w:t xml:space="preserve"> </w:t>
      </w:r>
      <w:r>
        <w:t xml:space="preserve">observatory for European list-of-lists-derived trusted-list artifacts.</w:t>
      </w:r>
      <w:r>
        <w:t xml:space="preserve"> </w:t>
      </w:r>
      <w:r>
        <w:t xml:space="preserve">Cassandra records dated attempts to collect public trusted-list</w:t>
      </w:r>
      <w:r>
        <w:t xml:space="preserve"> </w:t>
      </w:r>
      <w:r>
        <w:t xml:space="preserve">documents, normalizes comparable XML artifacts, emits structural diff</w:t>
      </w:r>
      <w:r>
        <w:t xml:space="preserve"> </w:t>
      </w:r>
      <w:r>
        <w:t xml:space="preserve">classes, packages each substantive run into evidence bundles, exposes</w:t>
      </w:r>
      <w:r>
        <w:t xml:space="preserve"> </w:t>
      </w:r>
      <w:r>
        <w:t xml:space="preserve">aggregate public dashboard data, and attaches EATF/AEP receipt metadata</w:t>
      </w:r>
      <w:r>
        <w:t xml:space="preserve"> </w:t>
      </w:r>
      <w:r>
        <w:t xml:space="preserve">to the resulting evidence packages. The case demonstrates a shift from</w:t>
      </w:r>
      <w:r>
        <w:t xml:space="preserve"> </w:t>
      </w:r>
      <w:r>
        <w:t xml:space="preserve">governance infrastructure to evidence infrastructure: public</w:t>
      </w:r>
      <w:r>
        <w:t xml:space="preserve"> </w:t>
      </w:r>
      <w:r>
        <w:t xml:space="preserve">legal-technical artifacts can be observed, hashed, bundled, signed,</w:t>
      </w:r>
      <w:r>
        <w:t xml:space="preserve"> </w:t>
      </w:r>
      <w:r>
        <w:t xml:space="preserve">displayed, and independently checked while preserving the distinction</w:t>
      </w:r>
      <w:r>
        <w:t xml:space="preserve"> </w:t>
      </w:r>
      <w:r>
        <w:t xml:space="preserve">between evidence integrity and legal interpretation. Across four dated</w:t>
      </w:r>
      <w:r>
        <w:t xml:space="preserve"> </w:t>
      </w:r>
      <w:r>
        <w:t xml:space="preserve">local/public lineages, Cassandra records 43 pointer attempts per run,</w:t>
      </w:r>
      <w:r>
        <w:t xml:space="preserve"> </w:t>
      </w:r>
      <w:r>
        <w:t xml:space="preserve">31 comparable normalized XML artifacts per run, 66 aggregate structural</w:t>
      </w:r>
      <w:r>
        <w:t xml:space="preserve"> </w:t>
      </w:r>
      <w:r>
        <w:t xml:space="preserve">diff entries under the configured method, four EATF-verified package</w:t>
      </w:r>
      <w:r>
        <w:t xml:space="preserve"> </w:t>
      </w:r>
      <w:r>
        <w:t xml:space="preserve">receipts, and five public dashboard cards. Synthetic fixtures cover</w:t>
      </w:r>
      <w:r>
        <w:t xml:space="preserve"> </w:t>
      </w:r>
      <w:r>
        <w:t xml:space="preserve">stable/no-change behavior, normalized-hash changes, provider/service</w:t>
      </w:r>
      <w:r>
        <w:t xml:space="preserve"> </w:t>
      </w:r>
      <w:r>
        <w:t xml:space="preserve">inventory changes, fetch failures, non-XML handling, EATF success and</w:t>
      </w:r>
      <w:r>
        <w:t xml:space="preserve"> </w:t>
      </w:r>
      <w:r>
        <w:t xml:space="preserve">tamper cases, missing signing inputs, dashboard states, and claim-safety</w:t>
      </w:r>
      <w:r>
        <w:t xml:space="preserve"> </w:t>
      </w:r>
      <w:r>
        <w:t xml:space="preserve">wording. Cassandra is not a trusted-list validator, not a relying-party</w:t>
      </w:r>
      <w:r>
        <w:t xml:space="preserve"> </w:t>
      </w:r>
      <w:r>
        <w:t xml:space="preserve">signature validator, and not a public alerting system. Cassandra is not a</w:t>
      </w:r>
      <w:r>
        <w:t xml:space="preserve"> </w:t>
      </w:r>
      <w:r>
        <w:t xml:space="preserve">supervisory tool and not a legal status oracle. Its contribution is</w:t>
      </w:r>
      <w:r>
        <w:t xml:space="preserve"> </w:t>
      </w:r>
      <w:r>
        <w:t xml:space="preserve">methodological: it shows how a public</w:t>
      </w:r>
      <w:r>
        <w:t xml:space="preserve"> </w:t>
      </w:r>
      <w:r>
        <w:t xml:space="preserve">governance surface can become a reproducible evidence stream, and how</w:t>
      </w:r>
      <w:r>
        <w:t xml:space="preserve"> </w:t>
      </w:r>
      <w:r>
        <w:t xml:space="preserve">the same discipline can inform emerging AI governance records without</w:t>
      </w:r>
      <w:r>
        <w:t xml:space="preserve"> </w:t>
      </w:r>
      <w:r>
        <w:t xml:space="preserve">collapsing cryptographic evidence into legal truth.</w:t>
      </w:r>
    </w:p>
    <w:p>
      <w:pPr>
        <w:pStyle w:val="BodyText"/>
      </w:pPr>
      <w:r>
        <w:t xml:space="preserve">Keywords: evidence infrastructure; public-key infrastructure; trusted</w:t>
      </w:r>
      <w:r>
        <w:t xml:space="preserve"> </w:t>
      </w:r>
      <w:r>
        <w:t xml:space="preserve">lists; eIDAS; EATF; digital government; computational public</w:t>
      </w:r>
      <w:r>
        <w:t xml:space="preserve"> </w:t>
      </w:r>
      <w:r>
        <w:t xml:space="preserve">administration; reproducibility; AI governance.</w:t>
      </w:r>
    </w:p>
    <w:bookmarkEnd w:id="20"/>
    <w:bookmarkStart w:id="21" w:name="claim-safety-note"/>
    <w:p>
      <w:pPr>
        <w:pStyle w:val="Heading2"/>
      </w:pPr>
      <w:r>
        <w:t xml:space="preserve">Claim-Safety Note</w:t>
      </w:r>
    </w:p>
    <w:p>
      <w:pPr>
        <w:pStyle w:val="FirstParagraph"/>
      </w:pPr>
      <w:r>
        <w:t xml:space="preserve">All observations in this preprint are limited to locally recorded</w:t>
      </w:r>
      <w:r>
        <w:t xml:space="preserve"> </w:t>
      </w:r>
      <w:r>
        <w:t xml:space="preserve">workflow telemetry and saved public-source artifacts: fetch metadata,</w:t>
      </w:r>
      <w:r>
        <w:t xml:space="preserve"> </w:t>
      </w:r>
      <w:r>
        <w:t xml:space="preserve">parser outcomes, normalized XML hashes, structural diff classes,</w:t>
      </w:r>
      <w:r>
        <w:t xml:space="preserve"> </w:t>
      </w:r>
      <w:r>
        <w:t xml:space="preserve">aggregate tables, evidence-bundle manifests, EATF/AEP receipt metadata,</w:t>
      </w:r>
      <w:r>
        <w:t xml:space="preserve"> </w:t>
      </w:r>
      <w:r>
        <w:t xml:space="preserve">dashboard cards, and synthetic fixture validation outputs. A Cassandra</w:t>
      </w:r>
      <w:r>
        <w:t xml:space="preserve"> </w:t>
      </w:r>
      <w:r>
        <w:t xml:space="preserve">run does not assert legal effect, does not determine whether any listed</w:t>
      </w:r>
      <w:r>
        <w:t xml:space="preserve"> </w:t>
      </w:r>
      <w:r>
        <w:t xml:space="preserve">entity has gained or lost status, does not validate source signatures</w:t>
      </w:r>
      <w:r>
        <w:t xml:space="preserve"> </w:t>
      </w:r>
      <w:r>
        <w:t xml:space="preserve">for relying-party purposes, does not supervise trusted lists, does not</w:t>
      </w:r>
      <w:r>
        <w:t xml:space="preserve"> </w:t>
      </w:r>
      <w:r>
        <w:t xml:space="preserve">certify compliance, and does not provide public alerting. The project is</w:t>
      </w:r>
      <w:r>
        <w:t xml:space="preserve"> </w:t>
      </w:r>
      <w:r>
        <w:t xml:space="preserve">an evidence-infrastructure case study, not a regulated trust service.</w:t>
      </w:r>
    </w:p>
    <w:bookmarkEnd w:id="21"/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Digital public administration increasingly depends on artifacts that are</w:t>
      </w:r>
      <w:r>
        <w:t xml:space="preserve"> </w:t>
      </w:r>
      <w:r>
        <w:t xml:space="preserve">both technical and institutional. Certificates, trust lists, validation</w:t>
      </w:r>
      <w:r>
        <w:t xml:space="preserve"> </w:t>
      </w:r>
      <w:r>
        <w:t xml:space="preserve">policies, audit regimes, public registers, and machine-readable</w:t>
      </w:r>
      <w:r>
        <w:t xml:space="preserve"> </w:t>
      </w:r>
      <w:r>
        <w:t xml:space="preserve">administrative documents do not merely describe government infrastructure</w:t>
      </w:r>
      <w:r>
        <w:t xml:space="preserve"> </w:t>
      </w:r>
      <w:r>
        <w:t xml:space="preserve">from the outside. They are part of how digital trust is governed. Yet the</w:t>
      </w:r>
      <w:r>
        <w:t xml:space="preserve"> </w:t>
      </w:r>
      <w:r>
        <w:t xml:space="preserve">research record around such artifacts is often thin: a public register</w:t>
      </w:r>
      <w:r>
        <w:t xml:space="preserve"> </w:t>
      </w:r>
      <w:r>
        <w:t xml:space="preserve">exists, a standard describes it, software consumes it, but the changing</w:t>
      </w:r>
      <w:r>
        <w:t xml:space="preserve"> </w:t>
      </w:r>
      <w:r>
        <w:t xml:space="preserve">public state itself is not always preserved as an evidence stream that a</w:t>
      </w:r>
      <w:r>
        <w:t xml:space="preserve"> </w:t>
      </w:r>
      <w:r>
        <w:t xml:space="preserve">later researcher, reviewer, or institution can replay.</w:t>
      </w:r>
    </w:p>
    <w:p>
      <w:pPr>
        <w:pStyle w:val="BodyText"/>
      </w:pPr>
      <w:r>
        <w:t xml:space="preserve">Cassandra addresses this gap through a deliberately small case. It</w:t>
      </w:r>
      <w:r>
        <w:t xml:space="preserve"> </w:t>
      </w:r>
      <w:r>
        <w:t xml:space="preserve">observes the European public list-of-lists and the national trusted-list</w:t>
      </w:r>
      <w:r>
        <w:t xml:space="preserve"> </w:t>
      </w:r>
      <w:r>
        <w:t xml:space="preserve">documents referenced from locally saved LOTL snapshots. It records dated</w:t>
      </w:r>
      <w:r>
        <w:t xml:space="preserve"> </w:t>
      </w:r>
      <w:r>
        <w:t xml:space="preserve">collection attempts, classifies endpoint and parser outcomes, normalizes</w:t>
      </w:r>
      <w:r>
        <w:t xml:space="preserve"> </w:t>
      </w:r>
      <w:r>
        <w:t xml:space="preserve">comparable XML artifacts, emits configured structural diff classes,</w:t>
      </w:r>
      <w:r>
        <w:t xml:space="preserve"> </w:t>
      </w:r>
      <w:r>
        <w:t xml:space="preserve">bundles each substantive run with manifests and claims, and exposes a</w:t>
      </w:r>
      <w:r>
        <w:t xml:space="preserve"> </w:t>
      </w:r>
      <w:r>
        <w:t xml:space="preserve">caveated public dashboard index. The case is intentionally narrow. It</w:t>
      </w:r>
      <w:r>
        <w:t xml:space="preserve"> </w:t>
      </w:r>
      <w:r>
        <w:t xml:space="preserve">does not decide legal status, validate trusted-list signatures for</w:t>
      </w:r>
      <w:r>
        <w:t xml:space="preserve"> </w:t>
      </w:r>
      <w:r>
        <w:t xml:space="preserve">reliance, supervise any actor, or publish warnings. Its object is the</w:t>
      </w:r>
      <w:r>
        <w:t xml:space="preserve"> </w:t>
      </w:r>
      <w:r>
        <w:t xml:space="preserve">research workflow and the saved public artifacts under that workflow.</w:t>
      </w:r>
    </w:p>
    <w:p>
      <w:pPr>
        <w:pStyle w:val="BodyText"/>
      </w:pPr>
      <w:r>
        <w:t xml:space="preserve">The central claim is captured in one sentence: Cassandra moves from</w:t>
      </w:r>
      <w:r>
        <w:t xml:space="preserve"> </w:t>
      </w:r>
      <w:r>
        <w:t xml:space="preserve">governance infrastructure to evidence infrastructure. PKI and eIDAS</w:t>
      </w:r>
      <w:r>
        <w:t xml:space="preserve"> </w:t>
      </w:r>
      <w:r>
        <w:t xml:space="preserve">trusted lists already provide governance infrastructure: certificates,</w:t>
      </w:r>
      <w:r>
        <w:t xml:space="preserve"> </w:t>
      </w:r>
      <w:r>
        <w:t xml:space="preserve">policies, supervisory lists, validation conventions, and trust-service</w:t>
      </w:r>
      <w:r>
        <w:t xml:space="preserve"> </w:t>
      </w:r>
      <w:r>
        <w:t xml:space="preserve">roles. Cassandra does not replace that infrastructure. It watches one</w:t>
      </w:r>
      <w:r>
        <w:t xml:space="preserve"> </w:t>
      </w:r>
      <w:r>
        <w:t xml:space="preserve">public surface of it and turns the observation process itself into</w:t>
      </w:r>
      <w:r>
        <w:t xml:space="preserve"> </w:t>
      </w:r>
      <w:r>
        <w:t xml:space="preserve">evidence infrastructure: dated manifests, hashes, diffs, receipts,</w:t>
      </w:r>
      <w:r>
        <w:t xml:space="preserve"> </w:t>
      </w:r>
      <w:r>
        <w:t xml:space="preserve">public cards, and explicit claim boundaries.</w:t>
      </w:r>
    </w:p>
    <w:p>
      <w:pPr>
        <w:pStyle w:val="BodyText"/>
      </w:pPr>
      <w:r>
        <w:t xml:space="preserve">This matters beyond trusted lists. The EU AI Act creates adjacent</w:t>
      </w:r>
      <w:r>
        <w:t xml:space="preserve"> </w:t>
      </w:r>
      <w:r>
        <w:t xml:space="preserve">evidence problems around logging, transparency, technical documentation,</w:t>
      </w:r>
      <w:r>
        <w:t xml:space="preserve"> </w:t>
      </w:r>
      <w:r>
        <w:t xml:space="preserve">post-market monitoring, and lifecycle records. The AI governance problem</w:t>
      </w:r>
      <w:r>
        <w:t xml:space="preserve"> </w:t>
      </w:r>
      <w:r>
        <w:t xml:space="preserve">is not only whether an AI system is safe or lawful; it is also whether</w:t>
      </w:r>
      <w:r>
        <w:t xml:space="preserve"> </w:t>
      </w:r>
      <w:r>
        <w:t xml:space="preserve">claims about the system, the review, the data, the decision boundary, and</w:t>
      </w:r>
      <w:r>
        <w:t xml:space="preserve"> </w:t>
      </w:r>
      <w:r>
        <w:t xml:space="preserve">the monitoring process can be bound to reproducible records. Cassandra is</w:t>
      </w:r>
      <w:r>
        <w:t xml:space="preserve"> </w:t>
      </w:r>
      <w:r>
        <w:t xml:space="preserve">not an AI monitor. It is a public-governance-artifact case that makes the</w:t>
      </w:r>
      <w:r>
        <w:t xml:space="preserve"> </w:t>
      </w:r>
      <w:r>
        <w:t xml:space="preserve">evidence-infrastructure problem small enough to inspect.</w:t>
      </w:r>
    </w:p>
    <w:p>
      <w:pPr>
        <w:pStyle w:val="BodyText"/>
      </w:pPr>
      <w:r>
        <w:t xml:space="preserve">The paper makes four contributions. First, it gives a cautious method</w:t>
      </w:r>
      <w:r>
        <w:t xml:space="preserve"> </w:t>
      </w:r>
      <w:r>
        <w:t xml:space="preserve">for longitudinal structural observation of public trusted-list artifacts.</w:t>
      </w:r>
      <w:r>
        <w:t xml:space="preserve"> </w:t>
      </w:r>
      <w:r>
        <w:t xml:space="preserve">Second, it reports a working full-stack observatory with scheduled</w:t>
      </w:r>
      <w:r>
        <w:t xml:space="preserve"> </w:t>
      </w:r>
      <w:r>
        <w:t xml:space="preserve">GitHub Actions, Cloudflare dashboard output, aggregate tables, figures,</w:t>
      </w:r>
      <w:r>
        <w:t xml:space="preserve"> </w:t>
      </w:r>
      <w:r>
        <w:t xml:space="preserve">dashboard cards, and EATF/AEP evidence receipts. Third, it maps synthetic</w:t>
      </w:r>
      <w:r>
        <w:t xml:space="preserve"> </w:t>
      </w:r>
      <w:r>
        <w:t xml:space="preserve">fixtures to reviewer-facing claims so that software behavior is tested</w:t>
      </w:r>
      <w:r>
        <w:t xml:space="preserve"> </w:t>
      </w:r>
      <w:r>
        <w:t xml:space="preserve">without exposing provider or service names. Fourth, it positions</w:t>
      </w:r>
      <w:r>
        <w:t xml:space="preserve"> </w:t>
      </w:r>
      <w:r>
        <w:t xml:space="preserve">Cassandra inside a thesis program in which PKI is governance</w:t>
      </w:r>
      <w:r>
        <w:t xml:space="preserve"> </w:t>
      </w:r>
      <w:r>
        <w:t xml:space="preserve">infrastructure and EATF/MIRROR-style packages provide an adjacent</w:t>
      </w:r>
      <w:r>
        <w:t xml:space="preserve"> </w:t>
      </w:r>
      <w:r>
        <w:t xml:space="preserve">evidence layer for AI and public-administration records.</w:t>
      </w:r>
    </w:p>
    <w:bookmarkEnd w:id="22"/>
    <w:bookmarkStart w:id="23" w:name="X490dab308f840ad1b8cf344294f3f687948333c"/>
    <w:p>
      <w:pPr>
        <w:pStyle w:val="Heading2"/>
      </w:pPr>
      <w:r>
        <w:t xml:space="preserve">2. Background: Trusted Lists as Governance Artifacts</w:t>
      </w:r>
    </w:p>
    <w:p>
      <w:pPr>
        <w:pStyle w:val="FirstParagraph"/>
      </w:pPr>
      <w:r>
        <w:t xml:space="preserve">The European trust-services framework is a legal-technical system, not</w:t>
      </w:r>
      <w:r>
        <w:t xml:space="preserve"> </w:t>
      </w:r>
      <w:r>
        <w:t xml:space="preserve">only a family of cryptographic formats. Regulation (EU) No 910/2014</w:t>
      </w:r>
      <w:r>
        <w:t xml:space="preserve"> </w:t>
      </w:r>
      <w:r>
        <w:t xml:space="preserve">(eIDAS) establishes the EU framework for electronic identification and</w:t>
      </w:r>
      <w:r>
        <w:t xml:space="preserve"> </w:t>
      </w:r>
      <w:r>
        <w:t xml:space="preserve">trust services. Regulation (EU) 2024/1183 amends eIDAS through the</w:t>
      </w:r>
      <w:r>
        <w:t xml:space="preserve"> </w:t>
      </w:r>
      <w:r>
        <w:t xml:space="preserve">European Digital Identity Framework. Commission Implementing Decision</w:t>
      </w:r>
      <w:r>
        <w:t xml:space="preserve"> </w:t>
      </w:r>
      <w:r>
        <w:t xml:space="preserve">(EU) 2015/1505 specifies trusted-list formats. ETSI TS 119 612 defines</w:t>
      </w:r>
      <w:r>
        <w:t xml:space="preserve"> </w:t>
      </w:r>
      <w:r>
        <w:t xml:space="preserve">the trusted-list grammar; ETSI EN 319 401 describes general policy</w:t>
      </w:r>
      <w:r>
        <w:t xml:space="preserve"> </w:t>
      </w:r>
      <w:r>
        <w:t xml:space="preserve">requirements for trust service providers; ETSI EN 319 411-1 and EN 319</w:t>
      </w:r>
      <w:r>
        <w:t xml:space="preserve"> </w:t>
      </w:r>
      <w:r>
        <w:t xml:space="preserve">422 connect the trusted-list layer to certificate-issuing and timestamp</w:t>
      </w:r>
      <w:r>
        <w:t xml:space="preserve"> </w:t>
      </w:r>
      <w:r>
        <w:t xml:space="preserve">service governance. These sources explain why the observed XML is not</w:t>
      </w:r>
      <w:r>
        <w:t xml:space="preserve"> </w:t>
      </w:r>
      <w:r>
        <w:t xml:space="preserve">arbitrary markup. It is a public administrative artifact embedded in a</w:t>
      </w:r>
      <w:r>
        <w:t xml:space="preserve"> </w:t>
      </w:r>
      <w:r>
        <w:t xml:space="preserve">larger trust-services regime.</w:t>
      </w:r>
    </w:p>
    <w:p>
      <w:pPr>
        <w:pStyle w:val="BodyText"/>
      </w:pPr>
      <w:r>
        <w:t xml:space="preserve">At the protocol layer, RFC 5280 anchors X.509 certificate and CRL</w:t>
      </w:r>
      <w:r>
        <w:t xml:space="preserve"> </w:t>
      </w:r>
      <w:r>
        <w:t xml:space="preserve">profiles, RFC 3161 anchors timestamp protocol vocabulary, and RFC 8785</w:t>
      </w:r>
      <w:r>
        <w:t xml:space="preserve"> </w:t>
      </w:r>
      <w:r>
        <w:t xml:space="preserve">is useful for thinking about deterministic JSON evidence representations</w:t>
      </w:r>
      <w:r>
        <w:t xml:space="preserve"> </w:t>
      </w:r>
      <w:r>
        <w:t xml:space="preserve">adjacent to Cassandra’s EATF/AEP package design. Outside the EU</w:t>
      </w:r>
      <w:r>
        <w:t xml:space="preserve"> </w:t>
      </w:r>
      <w:r>
        <w:t xml:space="preserve">trust-list context, CA/Browser Forum baseline requirements and the PKI</w:t>
      </w:r>
      <w:r>
        <w:t xml:space="preserve"> </w:t>
      </w:r>
      <w:r>
        <w:t xml:space="preserve">Consortium show that PKI governance also exists as an ecosystem of</w:t>
      </w:r>
      <w:r>
        <w:t xml:space="preserve"> </w:t>
      </w:r>
      <w:r>
        <w:t xml:space="preserve">multi-stakeholder rules, assurance expectations, and operational</w:t>
      </w:r>
      <w:r>
        <w:t xml:space="preserve"> </w:t>
      </w:r>
      <w:r>
        <w:t xml:space="preserve">transition problems. NIST FIPS 203, 204, and 205 further show that even</w:t>
      </w:r>
      <w:r>
        <w:t xml:space="preserve"> </w:t>
      </w:r>
      <w:r>
        <w:t xml:space="preserve">core cryptographic primitives are moving under post-quantum transition</w:t>
      </w:r>
      <w:r>
        <w:t xml:space="preserve"> </w:t>
      </w:r>
      <w:r>
        <w:t xml:space="preserve">pressure. The evidence layer must therefore be able to record not only</w:t>
      </w:r>
      <w:r>
        <w:t xml:space="preserve"> </w:t>
      </w:r>
      <w:r>
        <w:t xml:space="preserve">stable states but also migrations, caveats, and changing assumptions.</w:t>
      </w:r>
    </w:p>
    <w:p>
      <w:pPr>
        <w:pStyle w:val="BodyText"/>
      </w:pPr>
      <w:r>
        <w:t xml:space="preserve">The public-administration and infrastructure-studies literature helps</w:t>
      </w:r>
      <w:r>
        <w:t xml:space="preserve"> </w:t>
      </w:r>
      <w:r>
        <w:t xml:space="preserve">name what is otherwise easy to miss. Infrastructure is relational,</w:t>
      </w:r>
      <w:r>
        <w:t xml:space="preserve"> </w:t>
      </w:r>
      <w:r>
        <w:t xml:space="preserve">learned in practice, and often visible through maintenance and failure.</w:t>
      </w:r>
      <w:r>
        <w:t xml:space="preserve"> </w:t>
      </w:r>
      <w:r>
        <w:t xml:space="preserve">Classifications and standards organize institutional reality; they do</w:t>
      </w:r>
      <w:r>
        <w:t xml:space="preserve"> </w:t>
      </w:r>
      <w:r>
        <w:t xml:space="preserve">not merely label it. Turning-point theory helps frame why technological</w:t>
      </w:r>
      <w:r>
        <w:t xml:space="preserve"> </w:t>
      </w:r>
      <w:r>
        <w:t xml:space="preserve">deployment phases demand institutional reshaping, not just invention.</w:t>
      </w:r>
      <w:r>
        <w:t xml:space="preserve"> </w:t>
      </w:r>
      <w:r>
        <w:t xml:space="preserve">The useful lesson for Cassandra is modest: if public digital trust is</w:t>
      </w:r>
      <w:r>
        <w:t xml:space="preserve"> </w:t>
      </w:r>
      <w:r>
        <w:t xml:space="preserve">governed through structured artifacts, then those artifacts and their</w:t>
      </w:r>
      <w:r>
        <w:t xml:space="preserve"> </w:t>
      </w:r>
      <w:r>
        <w:t xml:space="preserve">changes deserve reproducible evidence records.</w:t>
      </w:r>
    </w:p>
    <w:p>
      <w:pPr>
        <w:pStyle w:val="BodyText"/>
      </w:pPr>
      <w:r>
        <w:t xml:space="preserve">This background also defines the boundary. Citing eIDAS, ETSI, RFCs,</w:t>
      </w:r>
      <w:r>
        <w:t xml:space="preserve"> </w:t>
      </w:r>
      <w:r>
        <w:t xml:space="preserve">NIST, CA/Browser Forum, or PKIC does not imply that Cassandra is</w:t>
      </w:r>
      <w:r>
        <w:t xml:space="preserve"> </w:t>
      </w:r>
      <w:r>
        <w:t xml:space="preserve">endorsed by those bodies, implements their standards as a relying-party</w:t>
      </w:r>
      <w:r>
        <w:t xml:space="preserve"> </w:t>
      </w:r>
      <w:r>
        <w:t xml:space="preserve">validator, or determines legal status. The sources establish the</w:t>
      </w:r>
      <w:r>
        <w:t xml:space="preserve"> </w:t>
      </w:r>
      <w:r>
        <w:t xml:space="preserve">environment and the vocabulary. Cassandra contributes a research method</w:t>
      </w:r>
      <w:r>
        <w:t xml:space="preserve"> </w:t>
      </w:r>
      <w:r>
        <w:t xml:space="preserve">for observing a public surface of that environment.</w:t>
      </w:r>
    </w:p>
    <w:bookmarkEnd w:id="23"/>
    <w:bookmarkStart w:id="27" w:name="related-work-and-positioning"/>
    <w:p>
      <w:pPr>
        <w:pStyle w:val="Heading2"/>
      </w:pPr>
      <w:r>
        <w:t xml:space="preserve">3. Related Work and Positioning</w:t>
      </w:r>
    </w:p>
    <w:p>
      <w:pPr>
        <w:pStyle w:val="FirstParagraph"/>
      </w:pPr>
      <w:r>
        <w:t xml:space="preserve">Cassandra intersects five fields.</w:t>
      </w:r>
    </w:p>
    <w:p>
      <w:pPr>
        <w:pStyle w:val="BodyText"/>
      </w:pPr>
      <w:r>
        <w:t xml:space="preserve">First, PKI and cryptographic governance explain the substrate. PKI is</w:t>
      </w:r>
      <w:r>
        <w:t xml:space="preserve"> </w:t>
      </w:r>
      <w:r>
        <w:t xml:space="preserve">often introduced through keys and algorithms, but it operates through</w:t>
      </w:r>
      <w:r>
        <w:t xml:space="preserve"> </w:t>
      </w:r>
      <w:r>
        <w:t xml:space="preserve">certificate policies, revocation mechanisms, audits, root distribution,</w:t>
      </w:r>
      <w:r>
        <w:t xml:space="preserve"> </w:t>
      </w:r>
      <w:r>
        <w:t xml:space="preserve">software defaults, identity-proofing conventions, and institutional</w:t>
      </w:r>
      <w:r>
        <w:t xml:space="preserve"> </w:t>
      </w:r>
      <w:r>
        <w:t xml:space="preserve">delegation. That is governance work with cryptographic parts.</w:t>
      </w:r>
      <w:r>
        <w:rPr>
          <w:rStyle w:val="FootnoteReference"/>
        </w:rPr>
        <w:footnoteReference w:id="24"/>
      </w:r>
      <w:r>
        <w:t xml:space="preserve"> </w:t>
      </w:r>
      <w:r>
        <w:t xml:space="preserve">Cassandra uses this point to avoid treating trusted lists as mere input</w:t>
      </w:r>
      <w:r>
        <w:t xml:space="preserve"> </w:t>
      </w:r>
      <w:r>
        <w:t xml:space="preserve">files. They are public records of a governance system.</w:t>
      </w:r>
    </w:p>
    <w:p>
      <w:pPr>
        <w:pStyle w:val="BodyText"/>
      </w:pPr>
      <w:r>
        <w:t xml:space="preserve">Second, eIDAS and ETSI trust-service sources explain the legal-technical</w:t>
      </w:r>
      <w:r>
        <w:t xml:space="preserve"> </w:t>
      </w:r>
      <w:r>
        <w:t xml:space="preserve">grammar. Trusted lists have prescribed roles and formats. This makes</w:t>
      </w:r>
      <w:r>
        <w:t xml:space="preserve"> </w:t>
      </w:r>
      <w:r>
        <w:t xml:space="preserve">them attractive for structural observation, but it also makes careless</w:t>
      </w:r>
      <w:r>
        <w:t xml:space="preserve"> </w:t>
      </w:r>
      <w:r>
        <w:t xml:space="preserve">claims dangerous. A structural diff is not a legal event; an endpoint</w:t>
      </w:r>
      <w:r>
        <w:t xml:space="preserve"> </w:t>
      </w:r>
      <w:r>
        <w:t xml:space="preserve">failure is not a supervisory conclusion; an XML signature-shaped element</w:t>
      </w:r>
      <w:r>
        <w:t xml:space="preserve"> </w:t>
      </w:r>
      <w:r>
        <w:t xml:space="preserve">is not a signature-validation result. Cassandra’s claim boundary is</w:t>
      </w:r>
      <w:r>
        <w:t xml:space="preserve"> </w:t>
      </w:r>
      <w:r>
        <w:t xml:space="preserve">therefore part of the method, not a disclaimer pasted on at the end.</w:t>
      </w:r>
    </w:p>
    <w:p>
      <w:pPr>
        <w:pStyle w:val="BodyText"/>
      </w:pPr>
      <w:r>
        <w:t xml:space="preserve">Third, digital-government and public-administration scholarship explain</w:t>
      </w:r>
      <w:r>
        <w:t xml:space="preserve"> </w:t>
      </w:r>
      <w:r>
        <w:t xml:space="preserve">why public machine-readable artifacts matter institutionally. Work on</w:t>
      </w:r>
      <w:r>
        <w:t xml:space="preserve"> </w:t>
      </w:r>
      <w:r>
        <w:t xml:space="preserve">e-Estonia, public-sector innovation, public value, trust in digital</w:t>
      </w:r>
      <w:r>
        <w:t xml:space="preserve"> </w:t>
      </w:r>
      <w:r>
        <w:t xml:space="preserve">government, and AI in government all points toward the same practical</w:t>
      </w:r>
      <w:r>
        <w:t xml:space="preserve"> </w:t>
      </w:r>
      <w:r>
        <w:t xml:space="preserve">problem: administrative capacity is increasingly expressed through</w:t>
      </w:r>
      <w:r>
        <w:t xml:space="preserve"> </w:t>
      </w:r>
      <w:r>
        <w:t xml:space="preserve">digital artifacts that need to be maintained, interpreted, audited, and</w:t>
      </w:r>
      <w:r>
        <w:t xml:space="preserve"> </w:t>
      </w:r>
      <w:r>
        <w:t xml:space="preserve">remembered.</w:t>
      </w:r>
    </w:p>
    <w:p>
      <w:pPr>
        <w:pStyle w:val="BodyText"/>
      </w:pPr>
      <w:r>
        <w:t xml:space="preserve">Fourth, infrastructure studies and classification studies provide the</w:t>
      </w:r>
      <w:r>
        <w:t xml:space="preserve"> </w:t>
      </w:r>
      <w:r>
        <w:t xml:space="preserve">conceptual bridge. Star and Ruhleder’s infrastructure lens, Bowker and</w:t>
      </w:r>
      <w:r>
        <w:t xml:space="preserve"> </w:t>
      </w:r>
      <w:r>
        <w:t xml:space="preserve">Star’s work on classification, and related knowledge-infrastructure</w:t>
      </w:r>
      <w:r>
        <w:t xml:space="preserve"> </w:t>
      </w:r>
      <w:r>
        <w:t xml:space="preserve">work all resist the fantasy that technical records are neutral pipes.</w:t>
      </w:r>
      <w:r>
        <w:t xml:space="preserve"> </w:t>
      </w:r>
      <w:r>
        <w:t xml:space="preserve">They are maintained systems with categories, access conditions, and</w:t>
      </w:r>
      <w:r>
        <w:t xml:space="preserve"> </w:t>
      </w:r>
      <w:r>
        <w:t xml:space="preserve">failure modes. Cassandra’s contribution is intentionally operational:</w:t>
      </w:r>
      <w:r>
        <w:t xml:space="preserve"> </w:t>
      </w:r>
      <w:r>
        <w:t xml:space="preserve">it makes a specialized governance surface inspectable through manifests,</w:t>
      </w:r>
      <w:r>
        <w:t xml:space="preserve"> </w:t>
      </w:r>
      <w:r>
        <w:t xml:space="preserve">hashes, diffs, dashboard cards, and receipts.</w:t>
      </w:r>
      <w:r>
        <w:rPr>
          <w:rStyle w:val="FootnoteReference"/>
        </w:rPr>
        <w:footnoteReference w:id="25"/>
      </w:r>
    </w:p>
    <w:p>
      <w:pPr>
        <w:pStyle w:val="BodyText"/>
      </w:pPr>
      <w:r>
        <w:t xml:space="preserve">Fifth, computational social science and digital research methods supply</w:t>
      </w:r>
      <w:r>
        <w:t xml:space="preserve"> </w:t>
      </w:r>
      <w:r>
        <w:t xml:space="preserve">the cautionary frame. Repeated observation of public artifacts can</w:t>
      </w:r>
      <w:r>
        <w:t xml:space="preserve"> </w:t>
      </w:r>
      <w:r>
        <w:t xml:space="preserve">produce useful evidence, but measurement validity, corpus boundaries,</w:t>
      </w:r>
      <w:r>
        <w:t xml:space="preserve"> </w:t>
      </w:r>
      <w:r>
        <w:t xml:space="preserve">reproducibility, aggregation choices, and public interpretation risks</w:t>
      </w:r>
      <w:r>
        <w:t xml:space="preserve"> </w:t>
      </w:r>
      <w:r>
        <w:t xml:space="preserve">must be explicit. Cassandra’s synthetic fixtures, aggregate-only prose,</w:t>
      </w:r>
      <w:r>
        <w:t xml:space="preserve"> </w:t>
      </w:r>
      <w:r>
        <w:t xml:space="preserve">claim-safety checks, and abstention rules are therefore methodological</w:t>
      </w:r>
      <w:r>
        <w:t xml:space="preserve"> </w:t>
      </w:r>
      <w:r>
        <w:t xml:space="preserve">features. The highest compliment for an evidence pipeline may be that it</w:t>
      </w:r>
      <w:r>
        <w:t xml:space="preserve"> </w:t>
      </w:r>
      <w:r>
        <w:t xml:space="preserve">becomes boring in a reproducible way.</w:t>
      </w:r>
      <w:r>
        <w:rPr>
          <w:rStyle w:val="FootnoteReference"/>
        </w:rPr>
        <w:footnoteReference w:id="26"/>
      </w:r>
    </w:p>
    <w:bookmarkEnd w:id="27"/>
    <w:bookmarkStart w:id="28" w:name="system-overview"/>
    <w:p>
      <w:pPr>
        <w:pStyle w:val="Heading2"/>
      </w:pPr>
      <w:r>
        <w:t xml:space="preserve">4. System Overview</w:t>
      </w:r>
    </w:p>
    <w:p>
      <w:pPr>
        <w:pStyle w:val="FirstParagraph"/>
      </w:pPr>
      <w:r>
        <w:t xml:space="preserve">Cassandra is implemented as a research-only workflow around dated runs.</w:t>
      </w:r>
      <w:r>
        <w:t xml:space="preserve"> </w:t>
      </w:r>
      <w:r>
        <w:t xml:space="preserve">Each run begins from a saved copy of the public European list-of-lists.</w:t>
      </w:r>
      <w:r>
        <w:t xml:space="preserve"> </w:t>
      </w:r>
      <w:r>
        <w:t xml:space="preserve">The workflow extracts trusted-list pointer URLs from that saved LOTL</w:t>
      </w:r>
      <w:r>
        <w:t xml:space="preserve"> </w:t>
      </w:r>
      <w:r>
        <w:t xml:space="preserve">copy, fetches the referenced public artifacts, records per-endpoint</w:t>
      </w:r>
      <w:r>
        <w:t xml:space="preserve"> </w:t>
      </w:r>
      <w:r>
        <w:t xml:space="preserve">metadata, normalizes XML-like inputs where possible, records non-XML and</w:t>
      </w:r>
      <w:r>
        <w:t xml:space="preserve"> </w:t>
      </w:r>
      <w:r>
        <w:t xml:space="preserve">parser outcomes, compares normalized records against a configured</w:t>
      </w:r>
      <w:r>
        <w:t xml:space="preserve"> </w:t>
      </w:r>
      <w:r>
        <w:t xml:space="preserve">baseline, emits structural diff classes, builds aggregate result tables</w:t>
      </w:r>
      <w:r>
        <w:t xml:space="preserve"> </w:t>
      </w:r>
      <w:r>
        <w:t xml:space="preserve">and figures, creates evidence bundles, signs or packages the run through</w:t>
      </w:r>
      <w:r>
        <w:t xml:space="preserve"> </w:t>
      </w:r>
      <w:r>
        <w:t xml:space="preserve">the EATF/AEP lane when signing inputs are available, and exposes a</w:t>
      </w:r>
      <w:r>
        <w:t xml:space="preserve"> </w:t>
      </w:r>
      <w:r>
        <w:t xml:space="preserve">public dashboard index.</w:t>
      </w:r>
    </w:p>
    <w:p>
      <w:pPr>
        <w:pStyle w:val="BodyText"/>
      </w:pPr>
      <w:r>
        <w:t xml:space="preserve">The core files and steps are: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fetch.py</w:t>
      </w:r>
      <w:r>
        <w:t xml:space="preserve">: collection and LOTL pointer extraction with endpoint error</w:t>
      </w:r>
      <w:r>
        <w:t xml:space="preserve"> </w:t>
      </w:r>
      <w:r>
        <w:t xml:space="preserve">metadata.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parse.py</w:t>
      </w:r>
      <w:r>
        <w:t xml:space="preserve">: deterministic XML normalization and structural extraction.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diff.py</w:t>
      </w:r>
      <w:r>
        <w:t xml:space="preserve">: configured structural diff classes over normalized records.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run_daily.py</w:t>
      </w:r>
      <w:r>
        <w:t xml:space="preserve">: dated orchestration with overwrite guards.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create_bundle.py</w:t>
      </w:r>
      <w:r>
        <w:t xml:space="preserve">: MIRROR-style evidence-bundle creation.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scripts/eatf_package_snapshot.py</w:t>
      </w:r>
      <w:r>
        <w:t xml:space="preserve">: EATF/AEP packaging integration.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scripts/build_observatory_index.py</w:t>
      </w:r>
      <w:r>
        <w:t xml:space="preserve">: public index and dashboard-card</w:t>
      </w:r>
      <w:r>
        <w:t xml:space="preserve"> </w:t>
      </w:r>
      <w:r>
        <w:t xml:space="preserve">generation.</w:t>
      </w:r>
    </w:p>
    <w:p>
      <w:pPr>
        <w:pStyle w:val="FirstParagraph"/>
      </w:pPr>
      <w:r>
        <w:t xml:space="preserve">The public observatory is deployed at</w:t>
      </w:r>
      <w:r>
        <w:t xml:space="preserve"> </w:t>
      </w:r>
      <w:r>
        <w:rPr>
          <w:rStyle w:val="VerbatimChar"/>
        </w:rPr>
        <w:t xml:space="preserve">https://cassandra-observatory.pages.dev/</w:t>
      </w:r>
      <w:r>
        <w:t xml:space="preserve">. Its machine-readable index is</w:t>
      </w:r>
      <w:r>
        <w:t xml:space="preserve"> </w:t>
      </w:r>
      <w:r>
        <w:t xml:space="preserve">available at</w:t>
      </w:r>
      <w:r>
        <w:t xml:space="preserve"> </w:t>
      </w:r>
      <w:r>
        <w:rPr>
          <w:rStyle w:val="VerbatimChar"/>
        </w:rPr>
        <w:t xml:space="preserve">https://cassandra-observatory.pages.dev/data/index.json</w:t>
      </w:r>
      <w:r>
        <w:t xml:space="preserve">.</w:t>
      </w:r>
      <w:r>
        <w:t xml:space="preserve"> </w:t>
      </w:r>
      <w:r>
        <w:t xml:space="preserve">As of the 2026-05-27 build, the public index reports four runs, latest</w:t>
      </w:r>
      <w:r>
        <w:t xml:space="preserve"> </w:t>
      </w:r>
      <w:r>
        <w:t xml:space="preserve">date</w:t>
      </w:r>
      <w:r>
        <w:t xml:space="preserve"> </w:t>
      </w:r>
      <w:r>
        <w:rPr>
          <w:rStyle w:val="VerbatimChar"/>
        </w:rPr>
        <w:t xml:space="preserve">2026-05-27</w:t>
      </w:r>
      <w:r>
        <w:t xml:space="preserve">, four EATF-verified receipts, and five dashboard cards.</w:t>
      </w:r>
      <w:r>
        <w:t xml:space="preserve"> </w:t>
      </w:r>
      <w:r>
        <w:t xml:space="preserve">The cards cover the latest run, EATF receipt boundary, aggregate diff</w:t>
      </w:r>
      <w:r>
        <w:t xml:space="preserve"> </w:t>
      </w:r>
      <w:r>
        <w:t xml:space="preserve">classes, claim boundary, and dashboard caveat. Each card repeats that</w:t>
      </w:r>
      <w:r>
        <w:t xml:space="preserve"> </w:t>
      </w:r>
      <w:r>
        <w:t xml:space="preserve">the data is structural-observation telemetry only, not trusted-list</w:t>
      </w:r>
      <w:r>
        <w:t xml:space="preserve"> </w:t>
      </w:r>
      <w:r>
        <w:t xml:space="preserve">validation, signature validation, legal-status determination,</w:t>
      </w:r>
      <w:r>
        <w:t xml:space="preserve"> </w:t>
      </w:r>
      <w:r>
        <w:t xml:space="preserve">supervision, compliance judgment, relying-party processing, public</w:t>
      </w:r>
      <w:r>
        <w:t xml:space="preserve"> </w:t>
      </w:r>
      <w:r>
        <w:t xml:space="preserve">alerting, or publication approval.</w:t>
      </w:r>
    </w:p>
    <w:p>
      <w:pPr>
        <w:pStyle w:val="BodyText"/>
      </w:pPr>
      <w:r>
        <w:t xml:space="preserve">The workflow’s most important design decision is abstention. Cassandra</w:t>
      </w:r>
      <w:r>
        <w:t xml:space="preserve"> </w:t>
      </w:r>
      <w:r>
        <w:t xml:space="preserve">keeps endpoint failures, non-XML artifacts, parser errors, and zero-diff</w:t>
      </w:r>
      <w:r>
        <w:t xml:space="preserve"> </w:t>
      </w:r>
      <w:r>
        <w:t xml:space="preserve">days inside the record. It does not clean them away to tell a simpler</w:t>
      </w:r>
      <w:r>
        <w:t xml:space="preserve"> </w:t>
      </w:r>
      <w:r>
        <w:t xml:space="preserve">story. A failed fetch is collection telemetry. A non-XML pointer is</w:t>
      </w:r>
      <w:r>
        <w:t xml:space="preserve"> </w:t>
      </w:r>
      <w:r>
        <w:t xml:space="preserve">corpus-shape telemetry. A parser error is a local parser event. A zero</w:t>
      </w:r>
      <w:r>
        <w:t xml:space="preserve"> </w:t>
      </w:r>
      <w:r>
        <w:t xml:space="preserve">diff means no configured structural diff was emitted by this</w:t>
      </w:r>
      <w:r>
        <w:t xml:space="preserve"> </w:t>
      </w:r>
      <w:r>
        <w:t xml:space="preserve">parser/baseline pair. None of these observations determines legal status.</w:t>
      </w:r>
    </w:p>
    <w:bookmarkEnd w:id="28"/>
    <w:bookmarkStart w:id="29" w:name="evidence-package-design"/>
    <w:p>
      <w:pPr>
        <w:pStyle w:val="Heading2"/>
      </w:pPr>
      <w:r>
        <w:t xml:space="preserve">5. Evidence Package Design</w:t>
      </w:r>
    </w:p>
    <w:p>
      <w:pPr>
        <w:pStyle w:val="FirstParagraph"/>
      </w:pPr>
      <w:r>
        <w:t xml:space="preserve">Each substantive run can be wrapped as an evidence package. The package</w:t>
      </w:r>
      <w:r>
        <w:t xml:space="preserve"> </w:t>
      </w:r>
      <w:r>
        <w:t xml:space="preserve">contains a summary artifact, manifest, claims file, notes, source copies</w:t>
      </w:r>
      <w:r>
        <w:t xml:space="preserve"> </w:t>
      </w:r>
      <w:r>
        <w:t xml:space="preserve">or source references, hashes, and verification output. This is a</w:t>
      </w:r>
      <w:r>
        <w:t xml:space="preserve"> </w:t>
      </w:r>
      <w:r>
        <w:t xml:space="preserve">MIRROR-style pattern: claims are made explicit, source links are</w:t>
      </w:r>
      <w:r>
        <w:t xml:space="preserve"> </w:t>
      </w:r>
      <w:r>
        <w:t xml:space="preserve">recorded, and local verification is possible without asking the reader</w:t>
      </w:r>
      <w:r>
        <w:t xml:space="preserve"> </w:t>
      </w:r>
      <w:r>
        <w:t xml:space="preserve">to trust a prose paragraph.</w:t>
      </w:r>
    </w:p>
    <w:p>
      <w:pPr>
        <w:pStyle w:val="BodyText"/>
      </w:pPr>
      <w:r>
        <w:t xml:space="preserve">EATF/AEP adds package-level attestation semantics. For indexed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runs, the EATF receipt verifies the corresponding package envelope,</w:t>
      </w:r>
      <w:r>
        <w:t xml:space="preserve"> </w:t>
      </w:r>
      <w:r>
        <w:t xml:space="preserve">payload bytes, and declared hashes. It does not validate the underlying</w:t>
      </w:r>
      <w:r>
        <w:t xml:space="preserve"> </w:t>
      </w:r>
      <w:r>
        <w:t xml:space="preserve">trusted-list source signatures, does not determine legal effect, and</w:t>
      </w:r>
      <w:r>
        <w:t xml:space="preserve"> </w:t>
      </w:r>
      <w:r>
        <w:t xml:space="preserve">does not confer supervisory meaning. The distinction is crucial:</w:t>
      </w:r>
      <w:r>
        <w:t xml:space="preserve"> </w:t>
      </w:r>
      <w:r>
        <w:t xml:space="preserve">evidence integrity is not legal truth. A package receipt can say that</w:t>
      </w:r>
      <w:r>
        <w:t xml:space="preserve"> </w:t>
      </w:r>
      <w:r>
        <w:t xml:space="preserve">the evidence package is internally consistent under the declared</w:t>
      </w:r>
      <w:r>
        <w:t xml:space="preserve"> </w:t>
      </w:r>
      <w:r>
        <w:t xml:space="preserve">verification process. It cannot say that a trust service is lawful, that</w:t>
      </w:r>
      <w:r>
        <w:t xml:space="preserve"> </w:t>
      </w:r>
      <w:r>
        <w:t xml:space="preserve">a provider’s status changed, or that a public authority has taken a</w:t>
      </w:r>
      <w:r>
        <w:t xml:space="preserve"> </w:t>
      </w:r>
      <w:r>
        <w:t xml:space="preserve">legally significant act.</w:t>
      </w:r>
    </w:p>
    <w:p>
      <w:pPr>
        <w:pStyle w:val="BodyText"/>
      </w:pPr>
      <w:r>
        <w:t xml:space="preserve">The 2026-05-27 public card records an EATF package path</w:t>
      </w:r>
      <w:r>
        <w:t xml:space="preserve"> </w:t>
      </w:r>
      <w:r>
        <w:rPr>
          <w:rStyle w:val="VerbatimChar"/>
        </w:rPr>
        <w:t xml:space="preserve">evidence/2026-05-27/cassandra-observation.aep</w:t>
      </w:r>
      <w:r>
        <w:t xml:space="preserve">, package hash</w:t>
      </w:r>
      <w:r>
        <w:t xml:space="preserve"> </w:t>
      </w:r>
      <w:r>
        <w:rPr>
          <w:rStyle w:val="VerbatimChar"/>
        </w:rPr>
        <w:t xml:space="preserve">3ef7f33b391afac388ce4bcf9716ac7018508ed613933f4ee86a3008d42023f6</w:t>
      </w:r>
      <w:r>
        <w:t xml:space="preserve">,</w:t>
      </w:r>
      <w:r>
        <w:t xml:space="preserve"> </w:t>
      </w:r>
      <w:r>
        <w:t xml:space="preserve">receipt path</w:t>
      </w:r>
      <w:r>
        <w:t xml:space="preserve"> </w:t>
      </w:r>
      <w:r>
        <w:rPr>
          <w:rStyle w:val="VerbatimChar"/>
        </w:rPr>
        <w:t xml:space="preserve">evidence/2026-05-27/eatf-verification.json</w:t>
      </w:r>
      <w:r>
        <w:t xml:space="preserve">, receipt hash</w:t>
      </w:r>
      <w:r>
        <w:t xml:space="preserve"> </w:t>
      </w:r>
      <w:r>
        <w:rPr>
          <w:rStyle w:val="VerbatimChar"/>
        </w:rPr>
        <w:t xml:space="preserve">1e971e12a46b0d8be72635671b45be0b2dc21a283c5f29f1257d3dde4d6407d0</w:t>
      </w:r>
      <w:r>
        <w:t xml:space="preserve">,</w:t>
      </w:r>
      <w:r>
        <w:t xml:space="preserve"> </w:t>
      </w:r>
      <w:r>
        <w:t xml:space="preserve">and status</w:t>
      </w:r>
      <w:r>
        <w:t xml:space="preserve"> </w:t>
      </w:r>
      <w:r>
        <w:rPr>
          <w:rStyle w:val="VerbatimChar"/>
        </w:rPr>
        <w:t xml:space="preserve">ok</w:t>
      </w:r>
      <w:r>
        <w:t xml:space="preserve">. The interpretation attached to that card is deliberately</w:t>
      </w:r>
      <w:r>
        <w:t xml:space="preserve"> </w:t>
      </w:r>
      <w:r>
        <w:t xml:space="preserve">narrow: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verifies package bytes, envelope structure, and declared</w:t>
      </w:r>
      <w:r>
        <w:t xml:space="preserve"> </w:t>
      </w:r>
      <w:r>
        <w:t xml:space="preserve">hashes only.</w:t>
      </w:r>
    </w:p>
    <w:p>
      <w:pPr>
        <w:pStyle w:val="BodyText"/>
      </w:pPr>
      <w:r>
        <w:t xml:space="preserve">This boundary is especially important for AI governance. If evidence</w:t>
      </w:r>
      <w:r>
        <w:t xml:space="preserve"> </w:t>
      </w:r>
      <w:r>
        <w:t xml:space="preserve">packages are to support AI lifecycle records, they must avoid the same</w:t>
      </w:r>
      <w:r>
        <w:t xml:space="preserve"> </w:t>
      </w:r>
      <w:r>
        <w:t xml:space="preserve">overreach. A signed package can preserve what was reviewed, logged, or</w:t>
      </w:r>
      <w:r>
        <w:t xml:space="preserve"> </w:t>
      </w:r>
      <w:r>
        <w:t xml:space="preserve">claimed. It does not prove that a model is safe, fair, lawful, or</w:t>
      </w:r>
      <w:r>
        <w:t xml:space="preserve"> </w:t>
      </w:r>
      <w:r>
        <w:t xml:space="preserve">accurate. Cassandra provides a concrete public-artifact case for this</w:t>
      </w:r>
      <w:r>
        <w:t xml:space="preserve"> </w:t>
      </w:r>
      <w:r>
        <w:t xml:space="preserve">discipline before the argument is transferred to more sensitive AI</w:t>
      </w:r>
      <w:r>
        <w:t xml:space="preserve"> </w:t>
      </w:r>
      <w:r>
        <w:t xml:space="preserve">contexts.</w:t>
      </w:r>
    </w:p>
    <w:bookmarkEnd w:id="29"/>
    <w:bookmarkStart w:id="30" w:name="dataset-and-current-results"/>
    <w:p>
      <w:pPr>
        <w:pStyle w:val="Heading2"/>
      </w:pPr>
      <w:r>
        <w:t xml:space="preserve">6. Dataset and Current Results</w:t>
      </w:r>
    </w:p>
    <w:p>
      <w:pPr>
        <w:pStyle w:val="FirstParagraph"/>
      </w:pPr>
      <w:r>
        <w:t xml:space="preserve">The current Cassandra evidence base contains four dated runs:</w:t>
      </w:r>
      <w:r>
        <w:t xml:space="preserve"> </w:t>
      </w:r>
      <w:r>
        <w:t xml:space="preserve">2026-05-20, 2026-05-21, 2026-05-22, and 2026-05-27. Each run starts from</w:t>
      </w:r>
      <w:r>
        <w:t xml:space="preserve"> </w:t>
      </w:r>
      <w:r>
        <w:t xml:space="preserve">43 LOTL-derived pointer attempts. The aggregate-results table records: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Pointer attempts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Fetched content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Fetch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Normalized XML artifacts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Parser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Provider count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Service count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4847</w:t>
            </w:r>
          </w:p>
        </w:tc>
      </w:tr>
    </w:tbl>
    <w:p>
      <w:pPr>
        <w:pStyle w:val="BodyText"/>
      </w:pPr>
      <w:r>
        <w:t xml:space="preserve">Across the four runs, Cassandra records 66 aggregate structural diff</w:t>
      </w:r>
      <w:r>
        <w:t xml:space="preserve"> </w:t>
      </w:r>
      <w:r>
        <w:t xml:space="preserve">entries under the configured method. The dashboard card reports the</w:t>
      </w:r>
      <w:r>
        <w:t xml:space="preserve"> </w:t>
      </w:r>
      <w:r>
        <w:t xml:space="preserve">class totals: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normalized_hash_changed</w:t>
      </w:r>
      <w:r>
        <w:t xml:space="preserve">: 7.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summary_field_changed</w:t>
      </w:r>
      <w:r>
        <w:t xml:space="preserve">: 28.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service_inventory_changed</w:t>
      </w:r>
      <w:r>
        <w:t xml:space="preserve">: 5.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provider_service_detail_changed</w:t>
      </w:r>
      <w:r>
        <w:t xml:space="preserve">: 26.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listed_document_added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listed_document_removed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provider_inventory_changed</w:t>
      </w:r>
      <w:r>
        <w:t xml:space="preserve">: 0.</w:t>
      </w:r>
    </w:p>
    <w:p>
      <w:pPr>
        <w:pStyle w:val="FirstParagraph"/>
      </w:pPr>
      <w:r>
        <w:t xml:space="preserve">These are structural-observation classes, not legal-effect classes.</w:t>
      </w:r>
      <w:r>
        <w:t xml:space="preserve"> </w:t>
      </w:r>
      <w:r>
        <w:t xml:space="preserve">Provider and service totals are aggregate parser outputs over the saved</w:t>
      </w:r>
      <w:r>
        <w:t xml:space="preserve"> </w:t>
      </w:r>
      <w:r>
        <w:t xml:space="preserve">local corpus. The paper intentionally does not name providers, services,</w:t>
      </w:r>
      <w:r>
        <w:t xml:space="preserve"> </w:t>
      </w:r>
      <w:r>
        <w:t xml:space="preserve">schemes, or authorities in narrative prose. Hashed provider/service</w:t>
      </w:r>
      <w:r>
        <w:t xml:space="preserve"> </w:t>
      </w:r>
      <w:r>
        <w:t xml:space="preserve">handles support local comparison while reducing the temptation to turn a</w:t>
      </w:r>
      <w:r>
        <w:t xml:space="preserve"> </w:t>
      </w:r>
      <w:r>
        <w:t xml:space="preserve">research draft into a provider-specific status feed.</w:t>
      </w:r>
    </w:p>
    <w:p>
      <w:pPr>
        <w:pStyle w:val="BodyText"/>
      </w:pPr>
      <w:r>
        <w:t xml:space="preserve">The results show that the workflow can preserve multiple kinds of</w:t>
      </w:r>
      <w:r>
        <w:t xml:space="preserve"> </w:t>
      </w:r>
      <w:r>
        <w:t xml:space="preserve">evidence at once: collection conditions, parser boundaries, comparable</w:t>
      </w:r>
      <w:r>
        <w:t xml:space="preserve"> </w:t>
      </w:r>
      <w:r>
        <w:t xml:space="preserve">records, structural changes, package hashes, EATF receipt status, public</w:t>
      </w:r>
      <w:r>
        <w:t xml:space="preserve"> </w:t>
      </w:r>
      <w:r>
        <w:t xml:space="preserve">dashboard summaries, and caveats. The result is not a claim that the</w:t>
      </w:r>
      <w:r>
        <w:t xml:space="preserve"> </w:t>
      </w:r>
      <w:r>
        <w:t xml:space="preserve">trusted-list ecosystem was stable or unstable. It is a claim that</w:t>
      </w:r>
      <w:r>
        <w:t xml:space="preserve"> </w:t>
      </w:r>
      <w:r>
        <w:t xml:space="preserve">Cassandra can produce reproducible structural-observation telemetry over</w:t>
      </w:r>
      <w:r>
        <w:t xml:space="preserve"> </w:t>
      </w:r>
      <w:r>
        <w:t xml:space="preserve">saved public artifacts and preserve enough context for later review.</w:t>
      </w:r>
    </w:p>
    <w:bookmarkEnd w:id="30"/>
    <w:bookmarkStart w:id="31" w:name="fixture-backed-behavior"/>
    <w:p>
      <w:pPr>
        <w:pStyle w:val="Heading2"/>
      </w:pPr>
      <w:r>
        <w:t xml:space="preserve">7. Fixture-Backed Behavior</w:t>
      </w:r>
    </w:p>
    <w:p>
      <w:pPr>
        <w:pStyle w:val="FirstParagraph"/>
      </w:pPr>
      <w:r>
        <w:t xml:space="preserve">Real public observations are not enough to make the case publishable.</w:t>
      </w:r>
      <w:r>
        <w:t xml:space="preserve"> </w:t>
      </w:r>
      <w:r>
        <w:t xml:space="preserve">The paper also needs controlled behavior tests. Cassandra therefore</w:t>
      </w:r>
      <w:r>
        <w:t xml:space="preserve"> </w:t>
      </w:r>
      <w:r>
        <w:t xml:space="preserve">maintains a fixture-to-claim map that links synthetic test classes to</w:t>
      </w:r>
      <w:r>
        <w:t xml:space="preserve"> </w:t>
      </w:r>
      <w:r>
        <w:t xml:space="preserve">paper claims, reviewer questions, evidence artifacts, and explicit</w:t>
      </w:r>
      <w:r>
        <w:t xml:space="preserve"> </w:t>
      </w:r>
      <w:r>
        <w:t xml:space="preserve">non-claims.</w:t>
      </w:r>
    </w:p>
    <w:p>
      <w:pPr>
        <w:pStyle w:val="BodyText"/>
      </w:pPr>
      <w:r>
        <w:t xml:space="preserve">The current fixture set covers:</w:t>
      </w:r>
    </w:p>
    <w:p>
      <w:pPr>
        <w:numPr>
          <w:ilvl w:val="0"/>
          <w:numId w:val="1003"/>
        </w:numPr>
        <w:pStyle w:val="Compact"/>
      </w:pPr>
      <w:r>
        <w:t xml:space="preserve">Stable no-change behavior: identical comparable records emit no</w:t>
      </w:r>
      <w:r>
        <w:t xml:space="preserve"> </w:t>
      </w:r>
      <w:r>
        <w:t xml:space="preserve">structural diff.</w:t>
      </w:r>
    </w:p>
    <w:p>
      <w:pPr>
        <w:numPr>
          <w:ilvl w:val="0"/>
          <w:numId w:val="1003"/>
        </w:numPr>
        <w:pStyle w:val="Compact"/>
      </w:pPr>
      <w:r>
        <w:t xml:space="preserve">Normalized hash changes: stable record counts with changed canonical</w:t>
      </w:r>
      <w:r>
        <w:t xml:space="preserve"> </w:t>
      </w:r>
      <w:r>
        <w:t xml:space="preserve">bytes are surfaced.</w:t>
      </w:r>
    </w:p>
    <w:p>
      <w:pPr>
        <w:numPr>
          <w:ilvl w:val="0"/>
          <w:numId w:val="1003"/>
        </w:numPr>
        <w:pStyle w:val="Compact"/>
      </w:pPr>
      <w:r>
        <w:t xml:space="preserve">Provider inventory and service inventory movements: synthetic</w:t>
      </w:r>
      <w:r>
        <w:t xml:space="preserve"> </w:t>
      </w:r>
      <w:r>
        <w:t xml:space="preserve">hashed handles support aggregate comparison without real names.</w:t>
      </w:r>
    </w:p>
    <w:p>
      <w:pPr>
        <w:numPr>
          <w:ilvl w:val="0"/>
          <w:numId w:val="1003"/>
        </w:numPr>
        <w:pStyle w:val="Compact"/>
      </w:pPr>
      <w:r>
        <w:t xml:space="preserve">Provider-service detail changes: detail movement can be separated from</w:t>
      </w:r>
      <w:r>
        <w:t xml:space="preserve"> </w:t>
      </w:r>
      <w:r>
        <w:t xml:space="preserve">whole-provider or whole-service movements.</w:t>
      </w:r>
    </w:p>
    <w:p>
      <w:pPr>
        <w:numPr>
          <w:ilvl w:val="0"/>
          <w:numId w:val="1003"/>
        </w:numPr>
        <w:pStyle w:val="Compact"/>
      </w:pPr>
      <w:r>
        <w:t xml:space="preserve">Fetch failures: timeout, HTTP-error, redirect, and unreachable-pointer</w:t>
      </w:r>
      <w:r>
        <w:t xml:space="preserve"> </w:t>
      </w:r>
      <w:r>
        <w:t xml:space="preserve">telemetry are preserved.</w:t>
      </w:r>
    </w:p>
    <w:p>
      <w:pPr>
        <w:numPr>
          <w:ilvl w:val="0"/>
          <w:numId w:val="1003"/>
        </w:numPr>
        <w:pStyle w:val="Compact"/>
      </w:pPr>
      <w:r>
        <w:t xml:space="preserve">Non-XML handling: PDF, HTML, TXT, and non-parseable inputs become skips</w:t>
      </w:r>
      <w:r>
        <w:t xml:space="preserve"> </w:t>
      </w:r>
      <w:r>
        <w:t xml:space="preserve">or parser events rather than fatal workflow failures.</w:t>
      </w:r>
    </w:p>
    <w:p>
      <w:pPr>
        <w:numPr>
          <w:ilvl w:val="0"/>
          <w:numId w:val="1003"/>
        </w:numPr>
        <w:pStyle w:val="Compact"/>
      </w:pPr>
      <w:r>
        <w:t xml:space="preserve">EATF success: a synthetic package can produce an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receipt.</w:t>
      </w:r>
    </w:p>
    <w:p>
      <w:pPr>
        <w:numPr>
          <w:ilvl w:val="0"/>
          <w:numId w:val="1003"/>
        </w:numPr>
        <w:pStyle w:val="Compact"/>
      </w:pPr>
      <w:r>
        <w:t xml:space="preserve">EATF tamper: altered synthetic package bytes fail verification.</w:t>
      </w:r>
    </w:p>
    <w:p>
      <w:pPr>
        <w:numPr>
          <w:ilvl w:val="0"/>
          <w:numId w:val="1003"/>
        </w:numPr>
        <w:pStyle w:val="Compact"/>
      </w:pPr>
      <w:r>
        <w:t xml:space="preserve">Missing signing input: absent signing material is recorded explicitly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skipped_missing_signing_inputs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Dashboard multistate: public-index consumers can represent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verify_failed</w:t>
      </w:r>
      <w:r>
        <w:t xml:space="preserve">, and skipped states without turning them into alerts.</w:t>
      </w:r>
    </w:p>
    <w:p>
      <w:pPr>
        <w:numPr>
          <w:ilvl w:val="0"/>
          <w:numId w:val="1003"/>
        </w:numPr>
        <w:pStyle w:val="Compact"/>
      </w:pPr>
      <w:r>
        <w:t xml:space="preserve">Claim safety: configured overclaiming phrases are detected in</w:t>
      </w:r>
      <w:r>
        <w:t xml:space="preserve"> </w:t>
      </w:r>
      <w:r>
        <w:t xml:space="preserve">controlled wording samples.</w:t>
      </w:r>
    </w:p>
    <w:p>
      <w:pPr>
        <w:pStyle w:val="FirstParagraph"/>
      </w:pPr>
      <w:r>
        <w:t xml:space="preserve">The fixture boundary is explicit: fixtures prove expected software</w:t>
      </w:r>
      <w:r>
        <w:t xml:space="preserve"> </w:t>
      </w:r>
      <w:r>
        <w:t xml:space="preserve">behavior on synthetic inputs. They are not empirical evidence about real</w:t>
      </w:r>
      <w:r>
        <w:t xml:space="preserve"> </w:t>
      </w:r>
      <w:r>
        <w:t xml:space="preserve">trusted-list content, source signatures, legal status, supervision,</w:t>
      </w:r>
      <w:r>
        <w:t xml:space="preserve"> </w:t>
      </w:r>
      <w:r>
        <w:t xml:space="preserve">compliance, public alerts, or publication approval. Their role is to</w:t>
      </w:r>
      <w:r>
        <w:t xml:space="preserve"> </w:t>
      </w:r>
      <w:r>
        <w:t xml:space="preserve">answer reviewer questions about the method: does the system fail closed</w:t>
      </w:r>
      <w:r>
        <w:t xml:space="preserve"> </w:t>
      </w:r>
      <w:r>
        <w:t xml:space="preserve">under tampering? Does it preserve failure states? Does it avoid silent</w:t>
      </w:r>
      <w:r>
        <w:t xml:space="preserve"> </w:t>
      </w:r>
      <w:r>
        <w:t xml:space="preserve">success when signing inputs are missing? Does it catch common wording</w:t>
      </w:r>
      <w:r>
        <w:t xml:space="preserve"> </w:t>
      </w:r>
      <w:r>
        <w:t xml:space="preserve">overclaims? These are software and method claims, not legal claims.</w:t>
      </w:r>
    </w:p>
    <w:bookmarkEnd w:id="31"/>
    <w:bookmarkStart w:id="32" w:name="X43f8a9aa4c17ed140f5247e2c8c7e44b0ce1a15"/>
    <w:p>
      <w:pPr>
        <w:pStyle w:val="Heading2"/>
      </w:pPr>
      <w:r>
        <w:t xml:space="preserve">8. Discussion: From PKI Governance to AI Evidence</w:t>
      </w:r>
    </w:p>
    <w:p>
      <w:pPr>
        <w:pStyle w:val="FirstParagraph"/>
      </w:pPr>
      <w:r>
        <w:t xml:space="preserve">Cassandra’s strongest thesis value is not that trusted lists are an</w:t>
      </w:r>
      <w:r>
        <w:t xml:space="preserve"> </w:t>
      </w:r>
      <w:r>
        <w:t xml:space="preserve">especially fashionable dataset. It is that trusted lists sit at a rare</w:t>
      </w:r>
      <w:r>
        <w:t xml:space="preserve"> </w:t>
      </w:r>
      <w:r>
        <w:t xml:space="preserve">intersection: public authority, structured technical artifacts,</w:t>
      </w:r>
      <w:r>
        <w:t xml:space="preserve"> </w:t>
      </w:r>
      <w:r>
        <w:t xml:space="preserve">cryptographic governance, institutional trust, and machine-readable</w:t>
      </w:r>
      <w:r>
        <w:t xml:space="preserve"> </w:t>
      </w:r>
      <w:r>
        <w:t xml:space="preserve">state. This makes them a useful case for observing how governance</w:t>
      </w:r>
      <w:r>
        <w:t xml:space="preserve"> </w:t>
      </w:r>
      <w:r>
        <w:t xml:space="preserve">infrastructure can be transformed into evidence infrastructure.</w:t>
      </w:r>
    </w:p>
    <w:p>
      <w:pPr>
        <w:pStyle w:val="BodyText"/>
      </w:pPr>
      <w:r>
        <w:t xml:space="preserve">The phrase</w:t>
      </w:r>
      <w:r>
        <w:t xml:space="preserve"> </w:t>
      </w:r>
      <w:r>
        <w:t xml:space="preserve">“</w:t>
      </w:r>
      <w:r>
        <w:t xml:space="preserve">PKI as governance infrastructure</w:t>
      </w:r>
      <w:r>
        <w:t xml:space="preserve">”</w:t>
      </w:r>
      <w:r>
        <w:t xml:space="preserve"> </w:t>
      </w:r>
      <w:r>
        <w:t xml:space="preserve">matters because it stops</w:t>
      </w:r>
      <w:r>
        <w:t xml:space="preserve"> </w:t>
      </w:r>
      <w:r>
        <w:t xml:space="preserve">the analysis from shrinking PKI into algorithms. PKI includes keys and</w:t>
      </w:r>
      <w:r>
        <w:t xml:space="preserve"> </w:t>
      </w:r>
      <w:r>
        <w:t xml:space="preserve">signatures, but it also includes policies, identity checks, root stores,</w:t>
      </w:r>
      <w:r>
        <w:t xml:space="preserve"> </w:t>
      </w:r>
      <w:r>
        <w:t xml:space="preserve">certificate profiles, revocation conventions, timestamps, audit</w:t>
      </w:r>
      <w:r>
        <w:t xml:space="preserve"> </w:t>
      </w:r>
      <w:r>
        <w:t xml:space="preserve">frameworks, trust lists, and relying-party software. Cassandra watches a</w:t>
      </w:r>
      <w:r>
        <w:t xml:space="preserve"> </w:t>
      </w:r>
      <w:r>
        <w:t xml:space="preserve">public administrative surface of that infrastructure. The watched surface</w:t>
      </w:r>
      <w:r>
        <w:t xml:space="preserve"> </w:t>
      </w:r>
      <w:r>
        <w:t xml:space="preserve">is not the whole governance system, but it is enough to demonstrate the</w:t>
      </w:r>
      <w:r>
        <w:t xml:space="preserve"> </w:t>
      </w:r>
      <w:r>
        <w:t xml:space="preserve">evidence move.</w:t>
      </w:r>
    </w:p>
    <w:p>
      <w:pPr>
        <w:pStyle w:val="BodyText"/>
      </w:pPr>
      <w:r>
        <w:t xml:space="preserve">The AI governance connection is vertical and adjacent. The AI Act does</w:t>
      </w:r>
      <w:r>
        <w:t xml:space="preserve"> </w:t>
      </w:r>
      <w:r>
        <w:t xml:space="preserve">not ask Cassandra to monitor AI systems. Instead, it makes visible a</w:t>
      </w:r>
      <w:r>
        <w:t xml:space="preserve"> </w:t>
      </w:r>
      <w:r>
        <w:t xml:space="preserve">similar institutional problem: records about systems, reviews, logs,</w:t>
      </w:r>
      <w:r>
        <w:t xml:space="preserve"> </w:t>
      </w:r>
      <w:r>
        <w:t xml:space="preserve">risks, datasets, human oversight, transparency, and post-market</w:t>
      </w:r>
      <w:r>
        <w:t xml:space="preserve"> </w:t>
      </w:r>
      <w:r>
        <w:t xml:space="preserve">monitoring need to be reproducible enough to support accountability.</w:t>
      </w:r>
      <w:r>
        <w:t xml:space="preserve"> </w:t>
      </w:r>
      <w:r>
        <w:t xml:space="preserve">EATF/AEP and MIRROR-style packages offer one grammar for such records:</w:t>
      </w:r>
      <w:r>
        <w:t xml:space="preserve"> </w:t>
      </w:r>
      <w:r>
        <w:t xml:space="preserve">claims, manifests, hashes, receipts, caveats, source references, and</w:t>
      </w:r>
      <w:r>
        <w:t xml:space="preserve"> </w:t>
      </w:r>
      <w:r>
        <w:t xml:space="preserve">local verification. Cassandra supplies a public, non-sensitive case where</w:t>
      </w:r>
      <w:r>
        <w:t xml:space="preserve"> </w:t>
      </w:r>
      <w:r>
        <w:t xml:space="preserve">that grammar can be tested against real public artifacts and synthetic</w:t>
      </w:r>
      <w:r>
        <w:t xml:space="preserve"> </w:t>
      </w:r>
      <w:r>
        <w:t xml:space="preserve">failure modes.</w:t>
      </w:r>
    </w:p>
    <w:p>
      <w:pPr>
        <w:pStyle w:val="BodyText"/>
      </w:pPr>
      <w:r>
        <w:t xml:space="preserve">This is also why the dashboard matters. The dashboard is not a marketing</w:t>
      </w:r>
      <w:r>
        <w:t xml:space="preserve"> </w:t>
      </w:r>
      <w:r>
        <w:t xml:space="preserve">surface. It is a method surface. It exposes what the evidence stream</w:t>
      </w:r>
      <w:r>
        <w:t xml:space="preserve"> </w:t>
      </w:r>
      <w:r>
        <w:t xml:space="preserve">contains and repeats what it refuses to claim. The public cards make the</w:t>
      </w:r>
      <w:r>
        <w:t xml:space="preserve"> </w:t>
      </w:r>
      <w:r>
        <w:t xml:space="preserve">claim boundary visible at the point of consumption: run counts, receipt</w:t>
      </w:r>
      <w:r>
        <w:t xml:space="preserve"> </w:t>
      </w:r>
      <w:r>
        <w:t xml:space="preserve">status, aggregate diff classes, and caveats travel together. That design</w:t>
      </w:r>
      <w:r>
        <w:t xml:space="preserve"> </w:t>
      </w:r>
      <w:r>
        <w:t xml:space="preserve">choice is small, but it is a discipline AI governance systems will need:</w:t>
      </w:r>
      <w:r>
        <w:t xml:space="preserve"> </w:t>
      </w:r>
      <w:r>
        <w:t xml:space="preserve">evidence must be packaged with its limits, not separated from them.</w:t>
      </w:r>
    </w:p>
    <w:bookmarkEnd w:id="32"/>
    <w:bookmarkStart w:id="33" w:name="limitations"/>
    <w:p>
      <w:pPr>
        <w:pStyle w:val="Heading2"/>
      </w:pPr>
      <w:r>
        <w:t xml:space="preserve">9. Limitations</w:t>
      </w:r>
    </w:p>
    <w:p>
      <w:pPr>
        <w:pStyle w:val="FirstParagraph"/>
      </w:pPr>
      <w:r>
        <w:t xml:space="preserve">The limitations are not incidental. They define the research object.</w:t>
      </w:r>
    </w:p>
    <w:p>
      <w:pPr>
        <w:pStyle w:val="BodyText"/>
      </w:pPr>
      <w:r>
        <w:t xml:space="preserve">First, Cassandra observes saved public artifacts under one workflow. It</w:t>
      </w:r>
      <w:r>
        <w:t xml:space="preserve"> </w:t>
      </w:r>
      <w:r>
        <w:t xml:space="preserve">does not establish endpoint completeness, current public availability,</w:t>
      </w:r>
      <w:r>
        <w:t xml:space="preserve"> </w:t>
      </w:r>
      <w:r>
        <w:t xml:space="preserve">or authoritative state beyond the local evidence collected at a given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Second, the parser is not a trusted-list relying-party implementation.</w:t>
      </w:r>
      <w:r>
        <w:t xml:space="preserve"> </w:t>
      </w:r>
      <w:r>
        <w:t xml:space="preserve">It records structural fields, signature-shaped elements, hashes, and</w:t>
      </w:r>
      <w:r>
        <w:t xml:space="preserve"> </w:t>
      </w:r>
      <w:r>
        <w:t xml:space="preserve">parser outcomes. It does not perform source-signature validation,</w:t>
      </w:r>
      <w:r>
        <w:t xml:space="preserve"> </w:t>
      </w:r>
      <w:r>
        <w:t xml:space="preserve">certificate-path validation, OCSP/CRL checks, or legal interpretation.</w:t>
      </w:r>
    </w:p>
    <w:p>
      <w:pPr>
        <w:pStyle w:val="BodyText"/>
      </w:pPr>
      <w:r>
        <w:t xml:space="preserve">Third, the diff classes are descriptive buckets. A normalized-hash</w:t>
      </w:r>
      <w:r>
        <w:t xml:space="preserve"> </w:t>
      </w:r>
      <w:r>
        <w:t xml:space="preserve">change, summary-field change, service-inventory movement, or</w:t>
      </w:r>
      <w:r>
        <w:t xml:space="preserve"> </w:t>
      </w:r>
      <w:r>
        <w:t xml:space="preserve">provider-service-detail movement is a local structural observation. It</w:t>
      </w:r>
      <w:r>
        <w:t xml:space="preserve"> </w:t>
      </w:r>
      <w:r>
        <w:t xml:space="preserve">is not a status change, compliance finding, risk score, or supervisory</w:t>
      </w:r>
      <w:r>
        <w:t xml:space="preserve"> </w:t>
      </w:r>
      <w:r>
        <w:t xml:space="preserve">signal.</w:t>
      </w:r>
    </w:p>
    <w:p>
      <w:pPr>
        <w:pStyle w:val="BodyText"/>
      </w:pPr>
      <w:r>
        <w:t xml:space="preserve">Fourth, the empirical series is still short. Four dated runs are enough</w:t>
      </w:r>
      <w:r>
        <w:t xml:space="preserve"> </w:t>
      </w:r>
      <w:r>
        <w:t xml:space="preserve">to demonstrate a full evidence loop, public dashboard, EATF receipts,</w:t>
      </w:r>
      <w:r>
        <w:t xml:space="preserve"> </w:t>
      </w:r>
      <w:r>
        <w:t xml:space="preserve">and fixture-backed behavior. They are not enough to estimate long-term</w:t>
      </w:r>
      <w:r>
        <w:t xml:space="preserve"> </w:t>
      </w:r>
      <w:r>
        <w:t xml:space="preserve">churn, seasonal patterns, national differences, authority behavior, or</w:t>
      </w:r>
      <w:r>
        <w:t xml:space="preserve"> </w:t>
      </w:r>
      <w:r>
        <w:t xml:space="preserve">trust-service ecosystem stability.</w:t>
      </w:r>
    </w:p>
    <w:p>
      <w:pPr>
        <w:pStyle w:val="BodyText"/>
      </w:pPr>
      <w:r>
        <w:t xml:space="preserve">Fifth, the public prose is aggregate-only by design. Named examples may</w:t>
      </w:r>
      <w:r>
        <w:t xml:space="preserve"> </w:t>
      </w:r>
      <w:r>
        <w:t xml:space="preserve">be useful in a later paper version, but only after operator review,</w:t>
      </w:r>
      <w:r>
        <w:t xml:space="preserve"> </w:t>
      </w:r>
      <w:r>
        <w:t xml:space="preserve">source-path checks, bundle context, exact wording review, and a decision</w:t>
      </w:r>
      <w:r>
        <w:t xml:space="preserve"> </w:t>
      </w:r>
      <w:r>
        <w:t xml:space="preserve">that the example improves explanation without turning the paper into a</w:t>
      </w:r>
      <w:r>
        <w:t xml:space="preserve"> </w:t>
      </w:r>
      <w:r>
        <w:t xml:space="preserve">status feed.</w:t>
      </w:r>
    </w:p>
    <w:p>
      <w:pPr>
        <w:pStyle w:val="BodyText"/>
      </w:pPr>
      <w:r>
        <w:t xml:space="preserve">Sixth, EATF/AEP receipts verify package integrity under the declared</w:t>
      </w:r>
      <w:r>
        <w:t xml:space="preserve"> </w:t>
      </w:r>
      <w:r>
        <w:t xml:space="preserve">process. They do not validate underlying legal truth. This limitation is</w:t>
      </w:r>
      <w:r>
        <w:t xml:space="preserve"> </w:t>
      </w:r>
      <w:r>
        <w:t xml:space="preserve">also the point. Evidence infrastructure becomes credible when it knows</w:t>
      </w:r>
      <w:r>
        <w:t xml:space="preserve"> </w:t>
      </w:r>
      <w:r>
        <w:t xml:space="preserve">where evidence stops.</w:t>
      </w:r>
    </w:p>
    <w:bookmarkEnd w:id="33"/>
    <w:bookmarkStart w:id="34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Cassandra shows that a public governance artifact can be turned into a</w:t>
      </w:r>
      <w:r>
        <w:t xml:space="preserve"> </w:t>
      </w:r>
      <w:r>
        <w:t xml:space="preserve">bounded evidence stream without pretending to become a regulator,</w:t>
      </w:r>
      <w:r>
        <w:t xml:space="preserve"> </w:t>
      </w:r>
      <w:r>
        <w:t xml:space="preserve">validator, or oracle. The system collects public LOTL-derived artifacts,</w:t>
      </w:r>
      <w:r>
        <w:t xml:space="preserve"> </w:t>
      </w:r>
      <w:r>
        <w:t xml:space="preserve">preserves endpoint and parser telemetry, normalizes comparable XML,</w:t>
      </w:r>
      <w:r>
        <w:t xml:space="preserve"> </w:t>
      </w:r>
      <w:r>
        <w:t xml:space="preserve">emits structural diff classes, packages run evidence, attaches EATF/AEP</w:t>
      </w:r>
      <w:r>
        <w:t xml:space="preserve"> </w:t>
      </w:r>
      <w:r>
        <w:t xml:space="preserve">receipts, exposes public dashboard cards, and validates its own claim</w:t>
      </w:r>
      <w:r>
        <w:t xml:space="preserve"> </w:t>
      </w:r>
      <w:r>
        <w:t xml:space="preserve">boundaries through synthetic fixtures.</w:t>
      </w:r>
    </w:p>
    <w:p>
      <w:pPr>
        <w:pStyle w:val="BodyText"/>
      </w:pPr>
      <w:r>
        <w:t xml:space="preserve">The case supports a broader thesis: PKI did not merely secure digital</w:t>
      </w:r>
      <w:r>
        <w:t xml:space="preserve"> </w:t>
      </w:r>
      <w:r>
        <w:t xml:space="preserve">transactions; it institutionalized a way of governing digital trust</w:t>
      </w:r>
      <w:r>
        <w:t xml:space="preserve"> </w:t>
      </w:r>
      <w:r>
        <w:t xml:space="preserve">through certificates, lists, policies, audits, revocation, timestamps,</w:t>
      </w:r>
      <w:r>
        <w:t xml:space="preserve"> </w:t>
      </w:r>
      <w:r>
        <w:t xml:space="preserve">and validation conventions. AI governance now needs an adjacent evidence</w:t>
      </w:r>
      <w:r>
        <w:t xml:space="preserve"> </w:t>
      </w:r>
      <w:r>
        <w:t xml:space="preserve">infrastructure for systems, decisions, reviews, logs, public artifacts,</w:t>
      </w:r>
      <w:r>
        <w:t xml:space="preserve"> </w:t>
      </w:r>
      <w:r>
        <w:t xml:space="preserve">and lifecycle records. Cassandra is the public-governance-artifact case.</w:t>
      </w:r>
      <w:r>
        <w:t xml:space="preserve"> </w:t>
      </w:r>
      <w:r>
        <w:t xml:space="preserve">Its lesson is deliberately restrained: evidence integrity can be made</w:t>
      </w:r>
      <w:r>
        <w:t xml:space="preserve"> </w:t>
      </w:r>
      <w:r>
        <w:t xml:space="preserve">visible and reproducible, but it must not be confused with legal truth.</w:t>
      </w:r>
    </w:p>
    <w:bookmarkEnd w:id="34"/>
    <w:bookmarkStart w:id="35" w:name="artifact-availability"/>
    <w:p>
      <w:pPr>
        <w:pStyle w:val="Heading2"/>
      </w:pPr>
      <w:r>
        <w:t xml:space="preserve">Artifact Availability</w:t>
      </w:r>
    </w:p>
    <w:p>
      <w:pPr>
        <w:pStyle w:val="FirstParagraph"/>
      </w:pPr>
      <w:r>
        <w:t xml:space="preserve">Repository:</w:t>
      </w:r>
      <w:r>
        <w:t xml:space="preserve"> </w:t>
      </w:r>
      <w:r>
        <w:rPr>
          <w:rStyle w:val="VerbatimChar"/>
        </w:rPr>
        <w:t xml:space="preserve">https://github.com/tyche-institute/cassandra</w:t>
      </w:r>
      <w:r>
        <w:t xml:space="preserve"> </w:t>
      </w:r>
      <w:r>
        <w:t xml:space="preserve">Dashboard:</w:t>
      </w:r>
      <w:r>
        <w:t xml:space="preserve"> </w:t>
      </w:r>
      <w:r>
        <w:rPr>
          <w:rStyle w:val="VerbatimChar"/>
        </w:rPr>
        <w:t xml:space="preserve">https://cassandra-observatory.pages.dev/</w:t>
      </w:r>
      <w:r>
        <w:br/>
      </w:r>
      <w:r>
        <w:t xml:space="preserve">Public index:</w:t>
      </w:r>
      <w:r>
        <w:t xml:space="preserve"> </w:t>
      </w:r>
      <w:r>
        <w:rPr>
          <w:rStyle w:val="VerbatimChar"/>
        </w:rPr>
        <w:t xml:space="preserve">https://cassandra-observatory.pages.dev/data/index.json</w:t>
      </w:r>
    </w:p>
    <w:p>
      <w:pPr>
        <w:pStyle w:val="BodyText"/>
      </w:pPr>
      <w:r>
        <w:t xml:space="preserve">Key local artifacts for this preprint: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paper/preprint/cassandra-preprint-v0.1.md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paper/reference-seed-bibliography.md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paper/claims-and-evidence-table.md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notes/cassandra-checked-reference-ledger-2026-05-27.md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notes/cassandra-checked-reference-url-validation-output.json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notes/fixture-to-claim-map.md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notes/fixture-matrix.md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notes/case-study-maturity-matrix.md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notes/publication-status-discipline.md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observatory/public/data/index.json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observatory/public/data/cards/index.json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evidence/2026-05-27/eatf-verification.json</w:t>
      </w:r>
    </w:p>
    <w:bookmarkEnd w:id="35"/>
    <w:bookmarkStart w:id="3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Bannister, F., and Connolly, R. (2011). Trust and transformational</w:t>
      </w:r>
      <w:r>
        <w:t xml:space="preserve"> </w:t>
      </w:r>
      <w:r>
        <w:t xml:space="preserve">government: A proposed framework for research. Government Information</w:t>
      </w:r>
      <w:r>
        <w:t xml:space="preserve"> </w:t>
      </w:r>
      <w:r>
        <w:t xml:space="preserve">Quarterly. DOI:</w:t>
      </w:r>
      <w:r>
        <w:t xml:space="preserve"> </w:t>
      </w:r>
      <w:r>
        <w:rPr>
          <w:rStyle w:val="VerbatimChar"/>
        </w:rPr>
        <w:t xml:space="preserve">10.1016/j.giq.2010.06.010</w:t>
      </w:r>
      <w:r>
        <w:t xml:space="preserve">.</w:t>
      </w:r>
    </w:p>
    <w:p>
      <w:pPr>
        <w:pStyle w:val="BodyText"/>
      </w:pPr>
      <w:r>
        <w:t xml:space="preserve">Bowker, G. C., and Star, S. L. (1999). Sorting Things Out:</w:t>
      </w:r>
      <w:r>
        <w:t xml:space="preserve"> </w:t>
      </w:r>
      <w:r>
        <w:t xml:space="preserve">Classification and Its Consequences. MIT Press. DOI:</w:t>
      </w:r>
      <w:r>
        <w:t xml:space="preserve"> </w:t>
      </w:r>
      <w:r>
        <w:rPr>
          <w:rStyle w:val="VerbatimChar"/>
        </w:rPr>
        <w:t xml:space="preserve">10.7551/mitpress/6352.001.0001</w:t>
      </w:r>
      <w:r>
        <w:t xml:space="preserve">.</w:t>
      </w:r>
    </w:p>
    <w:p>
      <w:pPr>
        <w:pStyle w:val="BodyText"/>
      </w:pPr>
      <w:r>
        <w:t xml:space="preserve">CA/Browser Forum. Baseline Requirements for the Issuance and Management</w:t>
      </w:r>
      <w:r>
        <w:t xml:space="preserve"> </w:t>
      </w:r>
      <w:r>
        <w:t xml:space="preserve">of Publicly-Trusted TLS Server Certificates, version 2.2.7, 19 May 2026.</w:t>
      </w:r>
      <w:r>
        <w:t xml:space="preserve"> </w:t>
      </w:r>
      <w:r>
        <w:rPr>
          <w:rStyle w:val="VerbatimChar"/>
        </w:rPr>
        <w:t xml:space="preserve">https://cabforum.org/working-groups/server/baseline-requirements/requirements/</w:t>
      </w:r>
      <w:r>
        <w:t xml:space="preserve">.</w:t>
      </w:r>
    </w:p>
    <w:p>
      <w:pPr>
        <w:pStyle w:val="BodyText"/>
      </w:pPr>
      <w:r>
        <w:t xml:space="preserve">Commission Implementing Decision (EU) 2015/1505 laying down technical</w:t>
      </w:r>
      <w:r>
        <w:t xml:space="preserve"> </w:t>
      </w:r>
      <w:r>
        <w:t xml:space="preserve">specifications and formats relating to trusted lists.</w:t>
      </w:r>
      <w:r>
        <w:t xml:space="preserve"> </w:t>
      </w:r>
      <w:r>
        <w:rPr>
          <w:rStyle w:val="VerbatimChar"/>
        </w:rPr>
        <w:t xml:space="preserve">https://eur-lex.europa.eu/legal-content/EN/TXT/?uri=CELEX%3A32015D1505</w:t>
      </w:r>
      <w:r>
        <w:t xml:space="preserve">.</w:t>
      </w:r>
    </w:p>
    <w:p>
      <w:pPr>
        <w:pStyle w:val="BodyText"/>
      </w:pPr>
      <w:r>
        <w:t xml:space="preserve">Cooper, D., Santesson, S., Farrell, S., Boeyen, S., Housley, R., and</w:t>
      </w:r>
      <w:r>
        <w:t xml:space="preserve"> </w:t>
      </w:r>
      <w:r>
        <w:t xml:space="preserve">Polk, W. (2008). RFC 5280: Internet X.509 Public Key Infrastructure</w:t>
      </w:r>
      <w:r>
        <w:t xml:space="preserve"> </w:t>
      </w:r>
      <w:r>
        <w:t xml:space="preserve">Certificate and Certificate Revocation List (CRL) Profile.</w:t>
      </w:r>
      <w:r>
        <w:t xml:space="preserve"> </w:t>
      </w:r>
      <w:r>
        <w:rPr>
          <w:rStyle w:val="VerbatimChar"/>
        </w:rPr>
        <w:t xml:space="preserve">https://www.rfc-editor.org/rfc/rfc5280</w:t>
      </w:r>
      <w:r>
        <w:t xml:space="preserve">.</w:t>
      </w:r>
    </w:p>
    <w:p>
      <w:pPr>
        <w:pStyle w:val="BodyText"/>
      </w:pPr>
      <w:r>
        <w:t xml:space="preserve">Drechsler, W. (2018). Pathfinder: e-Estonia as the beta-version. JeDEM.</w:t>
      </w:r>
      <w:r>
        <w:t xml:space="preserve"> </w:t>
      </w:r>
      <w:r>
        <w:t xml:space="preserve">DOI:</w:t>
      </w:r>
      <w:r>
        <w:t xml:space="preserve"> </w:t>
      </w:r>
      <w:r>
        <w:rPr>
          <w:rStyle w:val="VerbatimChar"/>
        </w:rPr>
        <w:t xml:space="preserve">10.29379/jedem.v10i2.513</w:t>
      </w:r>
      <w:r>
        <w:t xml:space="preserve">.</w:t>
      </w:r>
    </w:p>
    <w:p>
      <w:pPr>
        <w:pStyle w:val="BodyText"/>
      </w:pPr>
      <w:r>
        <w:t xml:space="preserve">ETSI EN 319 401 V3.1.1 (2024-06). Electronic Signatures and</w:t>
      </w:r>
      <w:r>
        <w:t xml:space="preserve"> </w:t>
      </w:r>
      <w:r>
        <w:t xml:space="preserve">Infrastructures (ESI); General Policy Requirements for Trust Service</w:t>
      </w:r>
      <w:r>
        <w:t xml:space="preserve"> </w:t>
      </w:r>
      <w:r>
        <w:t xml:space="preserve">Providers.</w:t>
      </w:r>
      <w:r>
        <w:t xml:space="preserve"> </w:t>
      </w:r>
      <w:r>
        <w:rPr>
          <w:rStyle w:val="VerbatimChar"/>
        </w:rPr>
        <w:t xml:space="preserve">https://www.etsi.org/deliver/etsi_en/319400_319499/319401/03.01.01_60/en_319401v030101p.pdf</w:t>
      </w:r>
      <w:r>
        <w:t xml:space="preserve">.</w:t>
      </w:r>
    </w:p>
    <w:p>
      <w:pPr>
        <w:pStyle w:val="BodyText"/>
      </w:pPr>
      <w:r>
        <w:t xml:space="preserve">ETSI EN 319 411-1 V1.5.1 (2025-04). Electronic Signatures and</w:t>
      </w:r>
      <w:r>
        <w:t xml:space="preserve"> </w:t>
      </w:r>
      <w:r>
        <w:t xml:space="preserve">Infrastructures (ESI); Policy and security requirements for Trust</w:t>
      </w:r>
      <w:r>
        <w:t xml:space="preserve"> </w:t>
      </w:r>
      <w:r>
        <w:t xml:space="preserve">Service Providers issuing certificates; Part 1: General requirements.</w:t>
      </w:r>
      <w:r>
        <w:t xml:space="preserve"> </w:t>
      </w:r>
      <w:r>
        <w:rPr>
          <w:rStyle w:val="VerbatimChar"/>
        </w:rPr>
        <w:t xml:space="preserve">https://www.etsi.org/deliver/etsi_en/319400_319499/31941101/01.05.01_60/en_31941101v010501p.pdf</w:t>
      </w:r>
      <w:r>
        <w:t xml:space="preserve">.</w:t>
      </w:r>
    </w:p>
    <w:p>
      <w:pPr>
        <w:pStyle w:val="BodyText"/>
      </w:pPr>
      <w:r>
        <w:t xml:space="preserve">ETSI EN 319 422 V1.1.1 (2016-03). Electronic Signatures and</w:t>
      </w:r>
      <w:r>
        <w:t xml:space="preserve"> </w:t>
      </w:r>
      <w:r>
        <w:t xml:space="preserve">Infrastructures (ESI); Time-stamping protocol and time-stamp token</w:t>
      </w:r>
      <w:r>
        <w:t xml:space="preserve"> </w:t>
      </w:r>
      <w:r>
        <w:t xml:space="preserve">profiles.</w:t>
      </w:r>
      <w:r>
        <w:t xml:space="preserve"> </w:t>
      </w:r>
      <w:r>
        <w:rPr>
          <w:rStyle w:val="VerbatimChar"/>
        </w:rPr>
        <w:t xml:space="preserve">https://www.etsi.org/deliver/etsi_en/319400_319499/319422/01.01.01_60/en_319422v010101p.pdf</w:t>
      </w:r>
      <w:r>
        <w:t xml:space="preserve">.</w:t>
      </w:r>
    </w:p>
    <w:p>
      <w:pPr>
        <w:pStyle w:val="BodyText"/>
      </w:pPr>
      <w:r>
        <w:t xml:space="preserve">ETSI TS 119 612 V2.4.1 (2025-08). Electronic Signatures and</w:t>
      </w:r>
      <w:r>
        <w:t xml:space="preserve"> </w:t>
      </w:r>
      <w:r>
        <w:t xml:space="preserve">Infrastructures (ESI); Trusted Lists.</w:t>
      </w:r>
      <w:r>
        <w:t xml:space="preserve"> </w:t>
      </w:r>
      <w:r>
        <w:rPr>
          <w:rStyle w:val="VerbatimChar"/>
        </w:rPr>
        <w:t xml:space="preserve">https://www.etsi.org/deliver/etsi_ts/119600_119699/119612/02.04.01_60/ts_119612v020401p.pdf</w:t>
      </w:r>
      <w:r>
        <w:t xml:space="preserve">.</w:t>
      </w:r>
    </w:p>
    <w:p>
      <w:pPr>
        <w:pStyle w:val="BodyText"/>
      </w:pPr>
      <w:r>
        <w:t xml:space="preserve">European Commission. EU Trusted Lists / List of the Lists documentation.</w:t>
      </w:r>
      <w:r>
        <w:t xml:space="preserve"> </w:t>
      </w:r>
      <w:r>
        <w:rPr>
          <w:rStyle w:val="VerbatimChar"/>
        </w:rPr>
        <w:t xml:space="preserve">https://digital-strategy.ec.europa.eu/en/policies/eu-trusted-lists</w:t>
      </w:r>
      <w:r>
        <w:t xml:space="preserve">.</w:t>
      </w:r>
    </w:p>
    <w:p>
      <w:pPr>
        <w:pStyle w:val="BodyText"/>
      </w:pPr>
      <w:r>
        <w:t xml:space="preserve">European Parliament and Council. Regulation (EU) No 910/2014 on</w:t>
      </w:r>
      <w:r>
        <w:t xml:space="preserve"> </w:t>
      </w:r>
      <w:r>
        <w:t xml:space="preserve">electronic identification and trust services for electronic transactions</w:t>
      </w:r>
      <w:r>
        <w:t xml:space="preserve"> </w:t>
      </w:r>
      <w:r>
        <w:t xml:space="preserve">in the internal market.</w:t>
      </w:r>
      <w:r>
        <w:t xml:space="preserve"> </w:t>
      </w:r>
      <w:r>
        <w:rPr>
          <w:rStyle w:val="VerbatimChar"/>
        </w:rPr>
        <w:t xml:space="preserve">https://eur-lex.europa.eu/eli/reg/2014/910/oj</w:t>
      </w:r>
      <w:r>
        <w:t xml:space="preserve">.</w:t>
      </w:r>
    </w:p>
    <w:p>
      <w:pPr>
        <w:pStyle w:val="BodyText"/>
      </w:pPr>
      <w:r>
        <w:t xml:space="preserve">European Parliament and Council. Regulation (EU) 2024/1183 establishing</w:t>
      </w:r>
      <w:r>
        <w:t xml:space="preserve"> </w:t>
      </w:r>
      <w:r>
        <w:t xml:space="preserve">the European Digital Identity Framework.</w:t>
      </w:r>
      <w:r>
        <w:t xml:space="preserve"> </w:t>
      </w:r>
      <w:r>
        <w:rPr>
          <w:rStyle w:val="VerbatimChar"/>
        </w:rPr>
        <w:t xml:space="preserve">https://eur-lex.europa.eu/eli/reg/2024/1183/oj</w:t>
      </w:r>
      <w:r>
        <w:t xml:space="preserve">.</w:t>
      </w:r>
    </w:p>
    <w:p>
      <w:pPr>
        <w:pStyle w:val="BodyText"/>
      </w:pPr>
      <w:r>
        <w:t xml:space="preserve">European Parliament and Council. Regulation (EU) 2024/1689 laying down</w:t>
      </w:r>
      <w:r>
        <w:t xml:space="preserve"> </w:t>
      </w:r>
      <w:r>
        <w:t xml:space="preserve">harmonised rules on artificial intelligence.</w:t>
      </w:r>
      <w:r>
        <w:t xml:space="preserve"> </w:t>
      </w:r>
      <w:r>
        <w:rPr>
          <w:rStyle w:val="VerbatimChar"/>
        </w:rPr>
        <w:t xml:space="preserve">https://eur-lex.europa.eu/legal-content/EN/TXT/?uri=CELEX%3A32024R1689</w:t>
      </w:r>
      <w:r>
        <w:t xml:space="preserve">.</w:t>
      </w:r>
    </w:p>
    <w:p>
      <w:pPr>
        <w:pStyle w:val="BodyText"/>
      </w:pPr>
      <w:r>
        <w:t xml:space="preserve">Lazer, D., Pentland, A., Adamic, L., Aral, S., Barabasi, A.-L.,</w:t>
      </w:r>
      <w:r>
        <w:t xml:space="preserve"> </w:t>
      </w:r>
      <w:r>
        <w:t xml:space="preserve">Brewer, D., Christakis, N., Contractor, N., Fowler, J., Gutmann, M.,</w:t>
      </w:r>
      <w:r>
        <w:t xml:space="preserve"> </w:t>
      </w:r>
      <w:r>
        <w:t xml:space="preserve">Jebara, T., King, G., Macy, M., Roy, D., and Van Alstyne, M. (2009).</w:t>
      </w:r>
      <w:r>
        <w:t xml:space="preserve"> </w:t>
      </w:r>
      <w:r>
        <w:t xml:space="preserve">Computational Social Science. Science. DOI:</w:t>
      </w:r>
      <w:r>
        <w:t xml:space="preserve"> </w:t>
      </w:r>
      <w:r>
        <w:rPr>
          <w:rStyle w:val="VerbatimChar"/>
        </w:rPr>
        <w:t xml:space="preserve">10.1126/science.1167742</w:t>
      </w:r>
      <w:r>
        <w:t xml:space="preserve">.</w:t>
      </w:r>
    </w:p>
    <w:p>
      <w:pPr>
        <w:pStyle w:val="BodyText"/>
      </w:pPr>
      <w:r>
        <w:t xml:space="preserve">NIST. FIPS 203: Module-Lattice-Based Key-Encapsulation Mechanism</w:t>
      </w:r>
      <w:r>
        <w:t xml:space="preserve"> </w:t>
      </w:r>
      <w:r>
        <w:t xml:space="preserve">Standard.</w:t>
      </w:r>
      <w:r>
        <w:t xml:space="preserve"> </w:t>
      </w:r>
      <w:r>
        <w:rPr>
          <w:rStyle w:val="VerbatimChar"/>
        </w:rPr>
        <w:t xml:space="preserve">https://csrc.nist.gov/pubs/fips/203/final</w:t>
      </w:r>
      <w:r>
        <w:t xml:space="preserve">.</w:t>
      </w:r>
    </w:p>
    <w:p>
      <w:pPr>
        <w:pStyle w:val="BodyText"/>
      </w:pPr>
      <w:r>
        <w:t xml:space="preserve">NIST. FIPS 204: Module-Lattice-Based Digital Signature Standard.</w:t>
      </w:r>
      <w:r>
        <w:t xml:space="preserve"> </w:t>
      </w:r>
      <w:r>
        <w:rPr>
          <w:rStyle w:val="VerbatimChar"/>
        </w:rPr>
        <w:t xml:space="preserve">https://csrc.nist.gov/pubs/fips/204/final</w:t>
      </w:r>
      <w:r>
        <w:t xml:space="preserve">.</w:t>
      </w:r>
    </w:p>
    <w:p>
      <w:pPr>
        <w:pStyle w:val="BodyText"/>
      </w:pPr>
      <w:r>
        <w:t xml:space="preserve">NIST. FIPS 205: Stateless Hash-Based Digital Signature Standard.</w:t>
      </w:r>
      <w:r>
        <w:t xml:space="preserve"> </w:t>
      </w:r>
      <w:r>
        <w:rPr>
          <w:rStyle w:val="VerbatimChar"/>
        </w:rPr>
        <w:t xml:space="preserve">https://csrc.nist.gov/pubs/fips/205/final</w:t>
      </w:r>
      <w:r>
        <w:t xml:space="preserve">.</w:t>
      </w:r>
    </w:p>
    <w:p>
      <w:pPr>
        <w:pStyle w:val="BodyText"/>
      </w:pPr>
      <w:r>
        <w:t xml:space="preserve">Perez, C. (2002). Technological Revolutions and Financial Capital:</w:t>
      </w:r>
      <w:r>
        <w:t xml:space="preserve"> </w:t>
      </w:r>
      <w:r>
        <w:t xml:space="preserve">The Dynamics of Bubbles and Golden Ages. Edward Elgar.</w:t>
      </w:r>
      <w:r>
        <w:t xml:space="preserve"> </w:t>
      </w:r>
      <w:r>
        <w:rPr>
          <w:rStyle w:val="VerbatimChar"/>
        </w:rPr>
        <w:t xml:space="preserve">https://books.google.com/books/about/Technological_Revolutions_and_Financial.html?id=FW-aAAAAIAAJ</w:t>
      </w:r>
      <w:r>
        <w:t xml:space="preserve">.</w:t>
      </w:r>
    </w:p>
    <w:p>
      <w:pPr>
        <w:pStyle w:val="BodyText"/>
      </w:pPr>
      <w:r>
        <w:t xml:space="preserve">PKI Consortium.</w:t>
      </w:r>
      <w:r>
        <w:t xml:space="preserve"> </w:t>
      </w:r>
      <w:r>
        <w:rPr>
          <w:rStyle w:val="VerbatimChar"/>
        </w:rPr>
        <w:t xml:space="preserve">https://pkic.org/</w:t>
      </w:r>
      <w:r>
        <w:t xml:space="preserve">.</w:t>
      </w:r>
    </w:p>
    <w:p>
      <w:pPr>
        <w:pStyle w:val="BodyText"/>
      </w:pPr>
      <w:r>
        <w:t xml:space="preserve">Salganik, M. J. (2017). Bit by Bit: Social Research in the Digital Age.</w:t>
      </w:r>
      <w:r>
        <w:t xml:space="preserve"> </w:t>
      </w:r>
      <w:r>
        <w:t xml:space="preserve">Princeton University Press.</w:t>
      </w:r>
    </w:p>
    <w:p>
      <w:pPr>
        <w:pStyle w:val="BodyText"/>
      </w:pPr>
      <w:r>
        <w:t xml:space="preserve">Star, S. L., and Ruhleder, K. (1996). Steps Toward an Ecology of</w:t>
      </w:r>
      <w:r>
        <w:t xml:space="preserve"> </w:t>
      </w:r>
      <w:r>
        <w:t xml:space="preserve">Infrastructure: Design and Access for Large Information Spaces.</w:t>
      </w:r>
      <w:r>
        <w:t xml:space="preserve"> </w:t>
      </w:r>
      <w:r>
        <w:t xml:space="preserve">Information Systems Research. DOI:</w:t>
      </w:r>
      <w:r>
        <w:t xml:space="preserve"> </w:t>
      </w:r>
      <w:r>
        <w:rPr>
          <w:rStyle w:val="VerbatimChar"/>
        </w:rPr>
        <w:t xml:space="preserve">10.1287/isre.7.1.111</w:t>
      </w:r>
      <w:r>
        <w:t xml:space="preserve">.</w:t>
      </w:r>
    </w:p>
    <w:p>
      <w:pPr>
        <w:pStyle w:val="BodyText"/>
      </w:pPr>
      <w:r>
        <w:t xml:space="preserve">Troncoso, C., and others. RFC 8785: JSON Canonicalization Scheme.</w:t>
      </w:r>
      <w:r>
        <w:t xml:space="preserve"> </w:t>
      </w:r>
      <w:r>
        <w:rPr>
          <w:rStyle w:val="VerbatimChar"/>
        </w:rPr>
        <w:t xml:space="preserve">https://www.rfc-editor.org/rfc/rfc8785</w:t>
      </w:r>
      <w:r>
        <w:t xml:space="preserve">.</w:t>
      </w:r>
    </w:p>
    <w:p>
      <w:pPr>
        <w:pStyle w:val="BodyText"/>
      </w:pPr>
      <w:r>
        <w:t xml:space="preserve">W3C. Verifiable Credentials Data Model v2.0.</w:t>
      </w:r>
      <w:r>
        <w:t xml:space="preserve"> </w:t>
      </w:r>
      <w:r>
        <w:rPr>
          <w:rStyle w:val="VerbatimChar"/>
        </w:rPr>
        <w:t xml:space="preserve">https://www.w3.org/TR/vc-data-model-2.0/</w:t>
      </w:r>
      <w:r>
        <w:t xml:space="preserve">.</w:t>
      </w:r>
    </w:p>
    <w:p>
      <w:pPr>
        <w:pStyle w:val="BodyText"/>
      </w:pPr>
      <w:r>
        <w:t xml:space="preserve">Adams, C., Cain, P., Pinkas, D., and Zuccherato, R. (2001). RFC 3161:</w:t>
      </w:r>
      <w:r>
        <w:t xml:space="preserve"> </w:t>
      </w:r>
      <w:r>
        <w:t xml:space="preserve">Internet X.509 Public Key Infrastructure Time-Stamp Protocol.</w:t>
      </w:r>
      <w:r>
        <w:t xml:space="preserve"> </w:t>
      </w:r>
      <w:r>
        <w:rPr>
          <w:rStyle w:val="VerbatimChar"/>
        </w:rPr>
        <w:t xml:space="preserve">https://www.rfc-editor.org/rfc/rfc3161</w:t>
      </w:r>
      <w:r>
        <w:t xml:space="preserve">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common shorthand</w:t>
      </w:r>
      <w:r>
        <w:t xml:space="preserve"> </w:t>
      </w:r>
      <w:r>
        <w:t xml:space="preserve">“</w:t>
      </w:r>
      <w:r>
        <w:t xml:space="preserve">PKI equals cryptography</w:t>
      </w:r>
      <w:r>
        <w:t xml:space="preserve">”</w:t>
      </w:r>
      <w:r>
        <w:t xml:space="preserve"> </w:t>
      </w:r>
      <w:r>
        <w:t xml:space="preserve">is useful in a</w:t>
      </w:r>
      <w:r>
        <w:t xml:space="preserve"> </w:t>
      </w:r>
      <w:r>
        <w:t xml:space="preserve">classroom and dangerous in governance. The keys do not audit</w:t>
      </w:r>
      <w:r>
        <w:t xml:space="preserve"> </w:t>
      </w:r>
      <w:r>
        <w:t xml:space="preserve">themselves, revoke themselves, or explain themselves to a relying</w:t>
      </w:r>
      <w:r>
        <w:t xml:space="preserve"> </w:t>
      </w:r>
      <w:r>
        <w:t xml:space="preserve">party at 03:00.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Grand theory earns its keep here only if it can survive the</w:t>
      </w:r>
      <w:r>
        <w:t xml:space="preserve"> </w:t>
      </w:r>
      <w:r>
        <w:t xml:space="preserve">manifest. Cassandra’s theory chapter and its hash table should be on</w:t>
      </w:r>
      <w:r>
        <w:t xml:space="preserve"> </w:t>
      </w:r>
      <w:r>
        <w:t xml:space="preserve">speaking terms.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“</w:t>
      </w:r>
      <w:r>
        <w:t xml:space="preserve">Boring</w:t>
      </w:r>
      <w:r>
        <w:t xml:space="preserve">”</w:t>
      </w:r>
      <w:r>
        <w:t xml:space="preserve"> </w:t>
      </w:r>
      <w:r>
        <w:t xml:space="preserve">is not a complaint in evidence infrastructure. A</w:t>
      </w:r>
      <w:r>
        <w:t xml:space="preserve"> </w:t>
      </w:r>
      <w:r>
        <w:t xml:space="preserve">reproducible system should be allowed at least one unglamorous virtue.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Cassandra: From Governance Infrastructure to Evidence Infrastructure</dc:title>
  <dc:creator>Anton Sokolov</dc:creator>
  <cp:keywords/>
  <dcterms:created xsi:type="dcterms:W3CDTF">2026-05-27T19:15:18Z</dcterms:created>
  <dcterms:modified xsi:type="dcterms:W3CDTF">2026-05-27T19:15:18Z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Tyche Institute, Tallinn, Estonia</vt:lpwstr>
  </property>
  <property fmtid="{D5CDD505-2E9C-101B-9397-08002B2CF9AE}" pid="3" name="date">
    <vt:lpwstr>2026-05-27</vt:lpwstr>
  </property>
  <property fmtid="{D5CDD505-2E9C-101B-9397-08002B2CF9AE}" pid="4" name="status">
    <vt:lpwstr>operator-review required before external submission</vt:lpwstr>
  </property>
  <property fmtid="{D5CDD505-2E9C-101B-9397-08002B2CF9AE}" pid="5" name="version">
    <vt:lpwstr>v0.1 preprint candidate</vt:lpwstr>
  </property>
</Properties>
</file>