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ver-letter-f1000research-submission"/>
    <w:p>
      <w:pPr>
        <w:pStyle w:val="Heading1"/>
      </w:pPr>
      <w:r>
        <w:t xml:space="preserve">Cover letter — F1000Research submission</w:t>
      </w:r>
    </w:p>
    <w:p>
      <w:pPr>
        <w:pStyle w:val="FirstParagraph"/>
      </w:pPr>
      <w:r>
        <w:rPr>
          <w:bCs/>
          <w:b/>
        </w:rPr>
        <w:t xml:space="preserve">To:</w:t>
      </w:r>
      <w:r>
        <w:t xml:space="preserve"> </w:t>
      </w:r>
      <w:r>
        <w:t xml:space="preserve">The Editorial Team, F1000Research</w:t>
      </w:r>
      <w:r>
        <w:t xml:space="preserve"> </w:t>
      </w:r>
      <w:r>
        <w:rPr>
          <w:bCs/>
          <w:b/>
        </w:rPr>
        <w:t xml:space="preserve">From:</w:t>
      </w:r>
      <w:r>
        <w:t xml:space="preserve"> </w:t>
      </w:r>
      <w:r>
        <w:t xml:space="preserve">Anton Sokolov, Tyche Institute, Tallinn, Estonia</w:t>
      </w:r>
      <w:r>
        <w:t xml:space="preserve"> </w:t>
      </w:r>
      <w:r>
        <w:t xml:space="preserve">anton.sokolov@tyche.institute · ORCID 0000-0003-2452-7096 · Mustamäe tee 167-50, Tallinn 12913, Estonia</w:t>
      </w:r>
      <w:r>
        <w:t xml:space="preserve"> </w:t>
      </w:r>
      <w:r>
        <w:rPr>
          <w:bCs/>
          <w:b/>
        </w:rPr>
        <w:t xml:space="preserve">Article type:</w:t>
      </w:r>
      <w:r>
        <w:t xml:space="preserve"> </w:t>
      </w:r>
      <w:r>
        <w:t xml:space="preserve">Method Article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t xml:space="preserve">LIMEN: a reviewer-safe public-source observatory for AI edge cases under source, language, and governance uncertainty</w:t>
      </w:r>
    </w:p>
    <w:p>
      <w:pPr>
        <w:pStyle w:val="BodyText"/>
      </w:pPr>
      <w:r>
        <w:t xml:space="preserve">Dear Editors,</w:t>
      </w:r>
    </w:p>
    <w:p>
      <w:pPr>
        <w:pStyle w:val="BodyText"/>
      </w:pPr>
      <w:r>
        <w:t xml:space="preserve">I am pleased to submit the above manuscript as a</w:t>
      </w:r>
      <w:r>
        <w:t xml:space="preserve"> </w:t>
      </w:r>
      <w:r>
        <w:rPr>
          <w:bCs/>
          <w:b/>
        </w:rPr>
        <w:t xml:space="preserve">Method Article</w:t>
      </w:r>
      <w:r>
        <w:t xml:space="preserve"> </w:t>
      </w:r>
      <w:r>
        <w:t xml:space="preserve">for consideration in F1000Research.</w:t>
      </w:r>
    </w:p>
    <w:p>
      <w:pPr>
        <w:pStyle w:val="BodyText"/>
      </w:pPr>
      <w:r>
        <w:t xml:space="preserve">Public catalogues of</w:t>
      </w:r>
      <w:r>
        <w:t xml:space="preserve"> </w:t>
      </w:r>
      <w:r>
        <w:t xml:space="preserve">“</w:t>
      </w:r>
      <w:r>
        <w:t xml:space="preserve">AI failures</w:t>
      </w:r>
      <w:r>
        <w:t xml:space="preserve">”</w:t>
      </w:r>
      <w:r>
        <w:t xml:space="preserve"> </w:t>
      </w:r>
      <w:r>
        <w:t xml:space="preserve">are proliferating, and they are useful — but they almost universally place a final court ruling, a charging-stage allegation, a disclosed software vulnerability and a viral news anecdote in one table and count them together, inviting readers to misread a row count as prevalence. This manuscript contributes a reproducible method — an</w:t>
      </w:r>
      <w:r>
        <w:t xml:space="preserve"> </w:t>
      </w:r>
      <w:r>
        <w:rPr>
          <w:iCs/>
          <w:i/>
        </w:rPr>
        <w:t xml:space="preserve">evidence architecture</w:t>
      </w:r>
      <w:r>
        <w:t xml:space="preserve"> </w:t>
      </w:r>
      <w:r>
        <w:t xml:space="preserve">— that fixes this at the level of method rather than of any single dataset: it keeps source authority and evidence maturity explicit, never sums across denominator classes, and attaches to every case a claim ceiling stating what the record can and cannot be used to claim. The paper documents the data model, a refute-by-default adversarial verification protocol, the tiering criteria and the claim-ceiling schema, and demonstrates the method on a reviewed core of 250 evidence-grade cases (157 regulator/court records, 82 contested/interim matters, 11 security disclosures) plus a separately-fenced media layer of 46 incidents, drawn from 34 jurisdictions, with a technical-validation section reporting the adversarial verification results and the dataset’s measured source-link coverage (233 of 250 evidence-grade cases, 93.2%, carry a direct link to the primary source).</w:t>
      </w:r>
    </w:p>
    <w:p>
      <w:pPr>
        <w:pStyle w:val="BodyText"/>
      </w:pPr>
      <w:r>
        <w:t xml:space="preserve">I believe the work is well suited to F1000Research for three reasons. First, it is a methods-and-data contribution whose value is reproducibility and transparency rather than a novel result, which fits the Method Article format. Second, the underlying data are openly available (a browsable atlas and a downloadable JSON dataset; a citable archived snapshot with its own DOI will accompany the version under review), consistent with F1000Research’s open-data requirements. Third, F1000Research’s open, post-publication peer review is a natural fit for a paper whose entire thesis is that evidence should be inspectable and claims should be bounded in public.</w:t>
      </w:r>
    </w:p>
    <w:p>
      <w:pPr>
        <w:pStyle w:val="BodyText"/>
      </w:pPr>
      <w:r>
        <w:rPr>
          <w:bCs/>
          <w:b/>
        </w:rPr>
        <w:t xml:space="preserve">Prior posting.</w:t>
      </w:r>
      <w:r>
        <w:t xml:space="preserve"> </w:t>
      </w:r>
      <w:r>
        <w:t xml:space="preserve">In keeping with F1000Research’s policy on preprints, I disclose that an earlier draft of this manuscript is publicly archived at Zenodo (DOI: 10.5281/zenodo.20700813) and that the companion observatory and atlas are publicly accessible. This submission is the expanded, method-article version.</w:t>
      </w:r>
    </w:p>
    <w:p>
      <w:pPr>
        <w:pStyle w:val="BodyText"/>
      </w:pPr>
      <w:r>
        <w:rPr>
          <w:bCs/>
          <w:b/>
        </w:rPr>
        <w:t xml:space="preserve">Declarations.</w:t>
      </w:r>
      <w:r>
        <w:t xml:space="preserve"> </w:t>
      </w:r>
      <w:r>
        <w:t xml:space="preserve">I am the sole author. I declare no competing interests and no grant funding for this work. The manuscript is not under consideration elsewhere.</w:t>
      </w:r>
    </w:p>
    <w:p>
      <w:pPr>
        <w:pStyle w:val="BodyText"/>
      </w:pPr>
      <w:r>
        <w:t xml:space="preserve">I would be glad to suggest reviewers with expertise in AI incident documentation, computational legal studies, or research-data curation if that would assist the editorial process.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Yours sincerely,</w:t>
      </w:r>
      <w:r>
        <w:t xml:space="preserve"> </w:t>
      </w:r>
      <w:r>
        <w:t xml:space="preserve">Anton Sokolov</w:t>
      </w:r>
      <w:r>
        <w:t xml:space="preserve"> </w:t>
      </w:r>
      <w:r>
        <w:t xml:space="preserve">Researcher, Tyche Institute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2026-06-17T23:31:25Z</dcterms:created>
  <dcterms:modified xsi:type="dcterms:W3CDTF">2026-06-17T23:31:25Z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