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416" w:rsidRPr="00C15A4A" w:rsidRDefault="00DE0416" w:rsidP="00DD38FC">
      <w:pPr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C15A4A">
        <w:rPr>
          <w:rFonts w:ascii="Times New Roman" w:eastAsia="Times New Roman" w:hAnsi="Times New Roman"/>
          <w:sz w:val="24"/>
          <w:szCs w:val="24"/>
          <w:lang w:eastAsia="en-US"/>
        </w:rPr>
        <w:t>BIOS 665:</w:t>
      </w:r>
      <w:r w:rsidRPr="00C15A4A">
        <w:rPr>
          <w:rFonts w:ascii="Times New Roman" w:eastAsia="Times New Roman" w:hAnsi="Times New Roman"/>
          <w:sz w:val="24"/>
          <w:szCs w:val="24"/>
          <w:lang w:eastAsia="en-US"/>
        </w:rPr>
        <w:tab/>
        <w:t>Problem Set 1</w:t>
      </w:r>
    </w:p>
    <w:p w:rsidR="00DE0416" w:rsidRPr="00C15A4A" w:rsidRDefault="00DE0416" w:rsidP="00DD38FC">
      <w:pPr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C15A4A">
        <w:rPr>
          <w:rFonts w:ascii="Times New Roman" w:eastAsia="Times New Roman" w:hAnsi="Times New Roman"/>
          <w:sz w:val="24"/>
          <w:szCs w:val="24"/>
          <w:lang w:eastAsia="en-US"/>
        </w:rPr>
        <w:t xml:space="preserve">Assigned:  </w:t>
      </w:r>
      <w:r w:rsidRPr="00C15A4A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="00DF0160">
        <w:rPr>
          <w:rFonts w:ascii="Times New Roman" w:eastAsia="Times New Roman" w:hAnsi="Times New Roman"/>
          <w:sz w:val="24"/>
          <w:szCs w:val="24"/>
          <w:lang w:eastAsia="en-US"/>
        </w:rPr>
        <w:t>Tuesday,</w:t>
      </w:r>
      <w:r w:rsidR="00DF0160">
        <w:rPr>
          <w:rFonts w:ascii="Times New Roman" w:eastAsia="Times New Roman" w:hAnsi="Times New Roman"/>
          <w:sz w:val="24"/>
          <w:szCs w:val="24"/>
          <w:lang w:eastAsia="en-US"/>
        </w:rPr>
        <w:t xml:space="preserve"> </w:t>
      </w:r>
      <w:r w:rsidR="00C45469">
        <w:rPr>
          <w:rFonts w:ascii="Times New Roman" w:eastAsia="Times New Roman" w:hAnsi="Times New Roman"/>
          <w:sz w:val="24"/>
          <w:szCs w:val="24"/>
          <w:lang w:eastAsia="en-US"/>
        </w:rPr>
        <w:t>Aug</w:t>
      </w:r>
      <w:r w:rsidR="00A65B79">
        <w:rPr>
          <w:rFonts w:ascii="Times New Roman" w:eastAsia="Times New Roman" w:hAnsi="Times New Roman"/>
          <w:sz w:val="24"/>
          <w:szCs w:val="24"/>
          <w:lang w:eastAsia="en-US"/>
        </w:rPr>
        <w:t>ust</w:t>
      </w:r>
      <w:r w:rsidR="00DF0160">
        <w:rPr>
          <w:rFonts w:ascii="Times New Roman" w:eastAsia="Times New Roman" w:hAnsi="Times New Roman"/>
          <w:sz w:val="24"/>
          <w:szCs w:val="24"/>
          <w:lang w:eastAsia="en-US"/>
        </w:rPr>
        <w:t xml:space="preserve"> 29, 2017</w:t>
      </w:r>
    </w:p>
    <w:p w:rsidR="00F9161D" w:rsidRDefault="00DE0416" w:rsidP="00DD38FC">
      <w:pPr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C15A4A">
        <w:rPr>
          <w:rFonts w:ascii="Times New Roman" w:eastAsia="Times New Roman" w:hAnsi="Times New Roman"/>
          <w:sz w:val="24"/>
          <w:szCs w:val="24"/>
          <w:lang w:eastAsia="en-US"/>
        </w:rPr>
        <w:t xml:space="preserve">Due:  </w:t>
      </w:r>
      <w:r w:rsidRPr="00C15A4A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Pr="00C15A4A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="000B0880">
        <w:rPr>
          <w:rFonts w:ascii="Times New Roman" w:eastAsia="Times New Roman" w:hAnsi="Times New Roman"/>
          <w:sz w:val="24"/>
          <w:szCs w:val="24"/>
          <w:lang w:eastAsia="en-US"/>
        </w:rPr>
        <w:t>Tuesday</w:t>
      </w:r>
      <w:bookmarkStart w:id="0" w:name="_GoBack"/>
      <w:bookmarkEnd w:id="0"/>
      <w:r w:rsidR="00DF0160">
        <w:rPr>
          <w:rFonts w:ascii="Times New Roman" w:eastAsia="Times New Roman" w:hAnsi="Times New Roman"/>
          <w:sz w:val="24"/>
          <w:szCs w:val="24"/>
          <w:lang w:eastAsia="en-US"/>
        </w:rPr>
        <w:t xml:space="preserve">, </w:t>
      </w:r>
      <w:r w:rsidR="00C45469">
        <w:rPr>
          <w:rFonts w:ascii="Times New Roman" w:eastAsia="Times New Roman" w:hAnsi="Times New Roman"/>
          <w:sz w:val="24"/>
          <w:szCs w:val="24"/>
          <w:lang w:eastAsia="en-US"/>
        </w:rPr>
        <w:t>Sep</w:t>
      </w:r>
      <w:r w:rsidR="00A65B79">
        <w:rPr>
          <w:rFonts w:ascii="Times New Roman" w:eastAsia="Times New Roman" w:hAnsi="Times New Roman"/>
          <w:sz w:val="24"/>
          <w:szCs w:val="24"/>
          <w:lang w:eastAsia="en-US"/>
        </w:rPr>
        <w:t>tember</w:t>
      </w:r>
      <w:r w:rsidR="00DF0160">
        <w:rPr>
          <w:rFonts w:ascii="Times New Roman" w:eastAsia="Times New Roman" w:hAnsi="Times New Roman"/>
          <w:sz w:val="24"/>
          <w:szCs w:val="24"/>
          <w:lang w:eastAsia="en-US"/>
        </w:rPr>
        <w:t xml:space="preserve"> </w:t>
      </w:r>
      <w:r w:rsidR="000B0880">
        <w:rPr>
          <w:rFonts w:ascii="Times New Roman" w:eastAsia="Times New Roman" w:hAnsi="Times New Roman"/>
          <w:sz w:val="24"/>
          <w:szCs w:val="24"/>
          <w:lang w:eastAsia="en-US"/>
        </w:rPr>
        <w:t>12</w:t>
      </w:r>
      <w:r w:rsidR="00DF0160">
        <w:rPr>
          <w:rFonts w:ascii="Times New Roman" w:eastAsia="Times New Roman" w:hAnsi="Times New Roman"/>
          <w:sz w:val="24"/>
          <w:szCs w:val="24"/>
          <w:lang w:eastAsia="en-US"/>
        </w:rPr>
        <w:t>, 2017</w:t>
      </w:r>
    </w:p>
    <w:p w:rsidR="00DE0416" w:rsidRPr="00C15A4A" w:rsidRDefault="00DE0416" w:rsidP="00DD38FC">
      <w:pPr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DE0416" w:rsidRPr="00C15A4A" w:rsidRDefault="00DE0416" w:rsidP="00DD38FC">
      <w:pPr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C15A4A">
        <w:rPr>
          <w:rFonts w:ascii="Times New Roman" w:eastAsia="Times New Roman" w:hAnsi="Times New Roman"/>
          <w:sz w:val="24"/>
          <w:szCs w:val="24"/>
          <w:lang w:eastAsia="en-US"/>
        </w:rPr>
        <w:t xml:space="preserve">Note: For all hypothesis tests, please state the method, the null hypothesis, the test statistic, the p-value, and the interpretation of the test using </w:t>
      </w:r>
      <w:r w:rsidR="00A65B79">
        <w:rPr>
          <w:rFonts w:ascii="Times New Roman" w:eastAsia="Times New Roman" w:hAnsi="Times New Roman"/>
          <w:sz w:val="24"/>
          <w:szCs w:val="24"/>
          <w:lang w:eastAsia="en-US"/>
        </w:rPr>
        <w:t xml:space="preserve">a </w:t>
      </w:r>
      <w:r w:rsidRPr="00C15A4A">
        <w:rPr>
          <w:rFonts w:ascii="Times New Roman" w:eastAsia="Times New Roman" w:hAnsi="Times New Roman"/>
          <w:sz w:val="24"/>
          <w:szCs w:val="24"/>
          <w:lang w:eastAsia="en-US"/>
        </w:rPr>
        <w:t>significance level of 0.05, unless otherwise stated.</w:t>
      </w:r>
    </w:p>
    <w:p w:rsidR="00F9161D" w:rsidRDefault="00F9161D" w:rsidP="00DD38FC">
      <w:pPr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DE0416" w:rsidRDefault="00DE0416" w:rsidP="00DD38FC">
      <w:pPr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C15A4A">
        <w:rPr>
          <w:rFonts w:ascii="Times New Roman" w:eastAsia="Times New Roman" w:hAnsi="Times New Roman"/>
          <w:sz w:val="24"/>
          <w:szCs w:val="24"/>
          <w:lang w:eastAsia="en-US"/>
        </w:rPr>
        <w:t xml:space="preserve">Helpful hints: For estimates and tests, simply copying and pasting SAS output without any commentary will not earn full credit, especially on exams.  Highlighting is not considered </w:t>
      </w:r>
      <w:r w:rsidR="00A65B79">
        <w:rPr>
          <w:rFonts w:ascii="Times New Roman" w:eastAsia="Times New Roman" w:hAnsi="Times New Roman"/>
          <w:sz w:val="24"/>
          <w:szCs w:val="24"/>
          <w:lang w:eastAsia="en-US"/>
        </w:rPr>
        <w:t xml:space="preserve">as </w:t>
      </w:r>
      <w:r w:rsidRPr="00C15A4A">
        <w:rPr>
          <w:rFonts w:ascii="Times New Roman" w:eastAsia="Times New Roman" w:hAnsi="Times New Roman"/>
          <w:sz w:val="24"/>
          <w:szCs w:val="24"/>
          <w:lang w:eastAsia="en-US"/>
        </w:rPr>
        <w:t xml:space="preserve">commentary.  However, commentary can be as simple as: </w:t>
      </w:r>
      <w:r w:rsidR="00A65B79">
        <w:rPr>
          <w:rFonts w:ascii="Times New Roman" w:eastAsia="Times New Roman" w:hAnsi="Times New Roman"/>
          <w:sz w:val="24"/>
          <w:szCs w:val="24"/>
          <w:lang w:eastAsia="en-US"/>
        </w:rPr>
        <w:t>‘</w:t>
      </w:r>
      <w:r w:rsidRPr="00C15A4A">
        <w:rPr>
          <w:rFonts w:ascii="Times New Roman" w:eastAsia="Times New Roman" w:hAnsi="Times New Roman"/>
          <w:sz w:val="24"/>
          <w:szCs w:val="24"/>
          <w:lang w:eastAsia="en-US"/>
        </w:rPr>
        <w:t>The 95% CI for the odds ratio is (___, ____).</w:t>
      </w:r>
      <w:r w:rsidR="00A65B79">
        <w:rPr>
          <w:rFonts w:ascii="Times New Roman" w:eastAsia="Times New Roman" w:hAnsi="Times New Roman"/>
          <w:sz w:val="24"/>
          <w:szCs w:val="24"/>
          <w:lang w:eastAsia="en-US"/>
        </w:rPr>
        <w:t>’</w:t>
      </w:r>
    </w:p>
    <w:p w:rsidR="00F9161D" w:rsidRDefault="00F9161D" w:rsidP="00DD38FC">
      <w:pPr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1B65A3" w:rsidRDefault="00BE122B" w:rsidP="00DD38FC">
      <w:pPr>
        <w:pStyle w:val="ListParagraph"/>
        <w:numPr>
          <w:ilvl w:val="0"/>
          <w:numId w:val="21"/>
        </w:numPr>
        <w:spacing w:after="0"/>
        <w:ind w:left="360"/>
        <w:rPr>
          <w:rFonts w:ascii="Times New Roman" w:eastAsia="Times New Roman" w:hAnsi="Times New Roman"/>
          <w:sz w:val="24"/>
          <w:szCs w:val="24"/>
          <w:lang w:eastAsia="en-US"/>
        </w:rPr>
      </w:pPr>
      <w:r w:rsidRPr="002472F0">
        <w:rPr>
          <w:rFonts w:ascii="Times New Roman" w:eastAsia="Times New Roman" w:hAnsi="Times New Roman"/>
          <w:sz w:val="24"/>
          <w:szCs w:val="24"/>
          <w:lang w:eastAsia="en-US"/>
        </w:rPr>
        <w:t>A randomized study of 160 subjects was conducted to evaluate whether a test treatment had a better outcome than placebo, in which the outcome was either a favorable or unfavorable response.  Of the 80 subjects in the test treatment group, 45 had a favorable response, while out of the 80 subjects in the placebo group, 29 subjects had a favorable response.</w:t>
      </w:r>
    </w:p>
    <w:p w:rsidR="001B65A3" w:rsidRPr="00DD38FC" w:rsidRDefault="001B65A3" w:rsidP="00DD38FC">
      <w:pPr>
        <w:pStyle w:val="ListParagraph"/>
        <w:spacing w:after="0"/>
        <w:ind w:left="360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BE122B" w:rsidRDefault="00BE122B" w:rsidP="00DD38FC">
      <w:pPr>
        <w:pStyle w:val="ListParagraph"/>
        <w:numPr>
          <w:ilvl w:val="1"/>
          <w:numId w:val="21"/>
        </w:numPr>
        <w:spacing w:after="0"/>
        <w:ind w:left="720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>Construct a contingency table summarizing the association between treatment assignment and response.</w:t>
      </w:r>
    </w:p>
    <w:p w:rsidR="001B65A3" w:rsidRDefault="001B65A3" w:rsidP="00DD38FC">
      <w:pPr>
        <w:pStyle w:val="ListParagraph"/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BE122B" w:rsidRDefault="00BE122B" w:rsidP="00DD38FC">
      <w:pPr>
        <w:pStyle w:val="ListParagraph"/>
        <w:numPr>
          <w:ilvl w:val="1"/>
          <w:numId w:val="21"/>
        </w:numPr>
        <w:spacing w:after="0"/>
        <w:ind w:left="720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Calculate an estimate of the proportion of subjects with a favorable response in each of the treatment groups along with </w:t>
      </w:r>
      <w:r w:rsidR="00A65B79">
        <w:rPr>
          <w:rFonts w:ascii="Times New Roman" w:eastAsia="Times New Roman" w:hAnsi="Times New Roman"/>
          <w:sz w:val="24"/>
          <w:szCs w:val="24"/>
          <w:lang w:eastAsia="en-US"/>
        </w:rPr>
        <w:t xml:space="preserve">corresponding </w:t>
      </w:r>
      <w:r>
        <w:rPr>
          <w:rFonts w:ascii="Times New Roman" w:eastAsia="Times New Roman" w:hAnsi="Times New Roman"/>
          <w:sz w:val="24"/>
          <w:szCs w:val="24"/>
          <w:lang w:eastAsia="en-US"/>
        </w:rPr>
        <w:t>tw</w:t>
      </w:r>
      <w:r w:rsidR="001B65A3">
        <w:rPr>
          <w:rFonts w:ascii="Times New Roman" w:eastAsia="Times New Roman" w:hAnsi="Times New Roman"/>
          <w:sz w:val="24"/>
          <w:szCs w:val="24"/>
          <w:lang w:eastAsia="en-US"/>
        </w:rPr>
        <w:t>o-sided 95% confidence interval</w:t>
      </w:r>
      <w:r w:rsidR="00A65B79">
        <w:rPr>
          <w:rFonts w:ascii="Times New Roman" w:eastAsia="Times New Roman" w:hAnsi="Times New Roman"/>
          <w:sz w:val="24"/>
          <w:szCs w:val="24"/>
          <w:lang w:eastAsia="en-US"/>
        </w:rPr>
        <w:t>s.</w:t>
      </w:r>
    </w:p>
    <w:p w:rsidR="001B65A3" w:rsidRDefault="001B65A3" w:rsidP="00DD38FC">
      <w:pPr>
        <w:pStyle w:val="ListParagraph"/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1B65A3" w:rsidRPr="00DD38FC" w:rsidRDefault="00BE122B" w:rsidP="00DD38FC">
      <w:pPr>
        <w:pStyle w:val="ListParagraph"/>
        <w:numPr>
          <w:ilvl w:val="1"/>
          <w:numId w:val="21"/>
        </w:numPr>
        <w:spacing w:after="0"/>
        <w:ind w:left="720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>Calculate an estimate for the difference in proportions and a corresponding two-sided 95% confidence interval comparing test treatment versus placebo.</w:t>
      </w:r>
    </w:p>
    <w:p w:rsidR="001B65A3" w:rsidRPr="00DD38FC" w:rsidRDefault="001B65A3" w:rsidP="00DD38FC">
      <w:pPr>
        <w:pStyle w:val="ListParagraph"/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1B65A3" w:rsidRPr="00DD38FC" w:rsidRDefault="00BE122B" w:rsidP="00DD38FC">
      <w:pPr>
        <w:pStyle w:val="ListParagraph"/>
        <w:numPr>
          <w:ilvl w:val="1"/>
          <w:numId w:val="21"/>
        </w:numPr>
        <w:spacing w:after="0"/>
        <w:ind w:left="720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>Conduct a statistical test for whether an association exists between treatment group and response. Please also list two conditions that the data must meet for this test to be valid.</w:t>
      </w:r>
    </w:p>
    <w:p w:rsidR="001B65A3" w:rsidRPr="00DD38FC" w:rsidRDefault="001B65A3" w:rsidP="00DD38FC">
      <w:pPr>
        <w:pStyle w:val="ListParagraph"/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BE122B" w:rsidRDefault="00A65B79" w:rsidP="00DD38FC">
      <w:pPr>
        <w:pStyle w:val="ListParagraph"/>
        <w:numPr>
          <w:ilvl w:val="1"/>
          <w:numId w:val="21"/>
        </w:numPr>
        <w:spacing w:after="0"/>
        <w:ind w:left="720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>Briefly d</w:t>
      </w:r>
      <w:r w:rsidR="00BE122B">
        <w:rPr>
          <w:rFonts w:ascii="Times New Roman" w:eastAsia="Times New Roman" w:hAnsi="Times New Roman"/>
          <w:sz w:val="24"/>
          <w:szCs w:val="24"/>
          <w:lang w:eastAsia="en-US"/>
        </w:rPr>
        <w:t xml:space="preserve">iscuss your results from parts </w:t>
      </w:r>
      <w:r>
        <w:rPr>
          <w:rFonts w:ascii="Times New Roman" w:eastAsia="Times New Roman" w:hAnsi="Times New Roman"/>
          <w:sz w:val="24"/>
          <w:szCs w:val="24"/>
          <w:lang w:eastAsia="en-US"/>
        </w:rPr>
        <w:t>(</w:t>
      </w:r>
      <w:r w:rsidR="00BE122B">
        <w:rPr>
          <w:rFonts w:ascii="Times New Roman" w:eastAsia="Times New Roman" w:hAnsi="Times New Roman"/>
          <w:sz w:val="24"/>
          <w:szCs w:val="24"/>
          <w:lang w:eastAsia="en-US"/>
        </w:rPr>
        <w:t>b.</w:t>
      </w:r>
      <w:r>
        <w:rPr>
          <w:rFonts w:ascii="Times New Roman" w:eastAsia="Times New Roman" w:hAnsi="Times New Roman"/>
          <w:sz w:val="24"/>
          <w:szCs w:val="24"/>
          <w:lang w:eastAsia="en-US"/>
        </w:rPr>
        <w:t>)</w:t>
      </w:r>
      <w:r w:rsidR="00BE122B">
        <w:rPr>
          <w:rFonts w:ascii="Times New Roman" w:eastAsia="Times New Roman" w:hAnsi="Times New Roman"/>
          <w:sz w:val="24"/>
          <w:szCs w:val="24"/>
          <w:lang w:eastAsia="en-US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en-US"/>
        </w:rPr>
        <w:t>(</w:t>
      </w:r>
      <w:r w:rsidR="00BE122B">
        <w:rPr>
          <w:rFonts w:ascii="Times New Roman" w:eastAsia="Times New Roman" w:hAnsi="Times New Roman"/>
          <w:sz w:val="24"/>
          <w:szCs w:val="24"/>
          <w:lang w:eastAsia="en-US"/>
        </w:rPr>
        <w:t>c.</w:t>
      </w:r>
      <w:r>
        <w:rPr>
          <w:rFonts w:ascii="Times New Roman" w:eastAsia="Times New Roman" w:hAnsi="Times New Roman"/>
          <w:sz w:val="24"/>
          <w:szCs w:val="24"/>
          <w:lang w:eastAsia="en-US"/>
        </w:rPr>
        <w:t>)</w:t>
      </w:r>
      <w:r w:rsidR="00BE122B">
        <w:rPr>
          <w:rFonts w:ascii="Times New Roman" w:eastAsia="Times New Roman" w:hAnsi="Times New Roman"/>
          <w:sz w:val="24"/>
          <w:szCs w:val="24"/>
          <w:lang w:eastAsia="en-US"/>
        </w:rPr>
        <w:t xml:space="preserve">, and </w:t>
      </w:r>
      <w:r>
        <w:rPr>
          <w:rFonts w:ascii="Times New Roman" w:eastAsia="Times New Roman" w:hAnsi="Times New Roman"/>
          <w:sz w:val="24"/>
          <w:szCs w:val="24"/>
          <w:lang w:eastAsia="en-US"/>
        </w:rPr>
        <w:t>(</w:t>
      </w:r>
      <w:r w:rsidR="00BE122B">
        <w:rPr>
          <w:rFonts w:ascii="Times New Roman" w:eastAsia="Times New Roman" w:hAnsi="Times New Roman"/>
          <w:sz w:val="24"/>
          <w:szCs w:val="24"/>
          <w:lang w:eastAsia="en-US"/>
        </w:rPr>
        <w:t>d.</w:t>
      </w:r>
      <w:r>
        <w:rPr>
          <w:rFonts w:ascii="Times New Roman" w:eastAsia="Times New Roman" w:hAnsi="Times New Roman"/>
          <w:sz w:val="24"/>
          <w:szCs w:val="24"/>
          <w:lang w:eastAsia="en-US"/>
        </w:rPr>
        <w:t>).</w:t>
      </w:r>
    </w:p>
    <w:p w:rsidR="00A54EDB" w:rsidRPr="00DD38FC" w:rsidRDefault="00A54EDB" w:rsidP="00DD38FC">
      <w:pPr>
        <w:pStyle w:val="ListParagraph"/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A25161" w:rsidRDefault="00A2516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br w:type="page"/>
      </w:r>
    </w:p>
    <w:p w:rsidR="00A54EDB" w:rsidRDefault="00A54EDB" w:rsidP="00DD38FC">
      <w:pPr>
        <w:pStyle w:val="ListParagraph"/>
        <w:numPr>
          <w:ilvl w:val="0"/>
          <w:numId w:val="21"/>
        </w:numPr>
        <w:spacing w:after="0"/>
        <w:ind w:left="360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lastRenderedPageBreak/>
        <w:t>A multi-center randomized trial was conducted for comparing two doses of a test drug for management of a chronic medical disorder. A contingency table of all subjects classified by the dose (high treatment dose, low treatment dose) and outcome (favorable response, unfavorable response) is given below.</w:t>
      </w:r>
    </w:p>
    <w:p w:rsidR="00F9161D" w:rsidRDefault="00F9161D" w:rsidP="00DD38FC">
      <w:pPr>
        <w:pStyle w:val="ListParagraph"/>
        <w:spacing w:after="0"/>
        <w:ind w:left="360"/>
        <w:rPr>
          <w:rFonts w:ascii="Times New Roman" w:eastAsia="Times New Roman" w:hAnsi="Times New Roman"/>
          <w:sz w:val="24"/>
          <w:szCs w:val="24"/>
          <w:lang w:eastAsia="en-US"/>
        </w:rPr>
      </w:pPr>
    </w:p>
    <w:tbl>
      <w:tblPr>
        <w:tblW w:w="5469" w:type="dxa"/>
        <w:jc w:val="center"/>
        <w:tblLook w:val="0000" w:firstRow="0" w:lastRow="0" w:firstColumn="0" w:lastColumn="0" w:noHBand="0" w:noVBand="0"/>
      </w:tblPr>
      <w:tblGrid>
        <w:gridCol w:w="2189"/>
        <w:gridCol w:w="1486"/>
        <w:gridCol w:w="1794"/>
      </w:tblGrid>
      <w:tr w:rsidR="00746938" w:rsidRPr="00834E23" w:rsidTr="00DD38FC">
        <w:trPr>
          <w:trHeight w:val="255"/>
          <w:jc w:val="center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6938" w:rsidRPr="00DD38FC" w:rsidRDefault="0003505D" w:rsidP="00DD38F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bookmarkStart w:id="1" w:name="IDX"/>
            <w:bookmarkEnd w:id="1"/>
            <w: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Treatment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46938" w:rsidRDefault="000A755E" w:rsidP="00DD38F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D38FC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Favorable</w:t>
            </w:r>
          </w:p>
          <w:p w:rsidR="0003505D" w:rsidRPr="00DD38FC" w:rsidRDefault="0003505D" w:rsidP="00DD38F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Response</w:t>
            </w: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46938" w:rsidRDefault="000A755E" w:rsidP="00DD38F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D38FC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Unfavorable</w:t>
            </w:r>
          </w:p>
          <w:p w:rsidR="0003505D" w:rsidRPr="00DD38FC" w:rsidRDefault="0003505D" w:rsidP="00DD38F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Response</w:t>
            </w:r>
          </w:p>
        </w:tc>
      </w:tr>
      <w:tr w:rsidR="00746938" w:rsidRPr="00834E23" w:rsidTr="00DD38FC">
        <w:trPr>
          <w:trHeight w:val="255"/>
          <w:jc w:val="center"/>
        </w:trPr>
        <w:tc>
          <w:tcPr>
            <w:tcW w:w="218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938" w:rsidRPr="00DD38FC" w:rsidRDefault="00746938" w:rsidP="00DD38F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D38FC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High </w:t>
            </w:r>
            <w:r w:rsidR="00834E23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D</w:t>
            </w:r>
            <w:r w:rsidRPr="00DD38FC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ose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:rsidR="00746938" w:rsidRPr="00DD38FC" w:rsidRDefault="00746938" w:rsidP="00DD38F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D38FC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79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46938" w:rsidRPr="00DD38FC" w:rsidRDefault="00746938" w:rsidP="00DD38F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D38FC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14</w:t>
            </w:r>
          </w:p>
        </w:tc>
      </w:tr>
      <w:tr w:rsidR="00746938" w:rsidRPr="00834E23" w:rsidTr="00DD38FC">
        <w:trPr>
          <w:trHeight w:val="255"/>
          <w:jc w:val="center"/>
        </w:trPr>
        <w:tc>
          <w:tcPr>
            <w:tcW w:w="21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938" w:rsidRPr="00DD38FC" w:rsidRDefault="00746938" w:rsidP="00DD38F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D38FC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Low </w:t>
            </w:r>
            <w:r w:rsidR="00834E23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D</w:t>
            </w:r>
            <w:r w:rsidRPr="00DD38FC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ose</w:t>
            </w:r>
          </w:p>
        </w:tc>
        <w:tc>
          <w:tcPr>
            <w:tcW w:w="14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46938" w:rsidRPr="00DD38FC" w:rsidRDefault="00746938" w:rsidP="00DD38F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D38FC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22</w:t>
            </w: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46938" w:rsidRPr="00DD38FC" w:rsidRDefault="00746938" w:rsidP="00DD38F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D38FC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33</w:t>
            </w:r>
          </w:p>
        </w:tc>
      </w:tr>
    </w:tbl>
    <w:p w:rsidR="00F9161D" w:rsidRDefault="00F9161D" w:rsidP="00DD38FC">
      <w:pPr>
        <w:pStyle w:val="ListParagraph"/>
        <w:spacing w:after="0"/>
        <w:jc w:val="both"/>
        <w:rPr>
          <w:rFonts w:ascii="Times New Roman" w:eastAsia="Times New Roman" w:hAnsi="Times New Roman"/>
          <w:sz w:val="24"/>
          <w:szCs w:val="24"/>
          <w:highlight w:val="yellow"/>
          <w:lang w:eastAsia="en-US"/>
        </w:rPr>
      </w:pPr>
    </w:p>
    <w:p w:rsidR="00746938" w:rsidRPr="00DD38FC" w:rsidRDefault="00412016" w:rsidP="00DD38FC">
      <w:pPr>
        <w:pStyle w:val="ListParagraph"/>
        <w:numPr>
          <w:ilvl w:val="1"/>
          <w:numId w:val="21"/>
        </w:num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  <w:r w:rsidRPr="00A50D3D">
        <w:rPr>
          <w:rFonts w:ascii="Times New Roman" w:eastAsia="Times New Roman" w:hAnsi="Times New Roman"/>
          <w:sz w:val="24"/>
          <w:szCs w:val="24"/>
          <w:lang w:eastAsia="en-US"/>
        </w:rPr>
        <w:t xml:space="preserve">Estimate the odds ratio for </w:t>
      </w:r>
      <w:r w:rsidR="00677F84" w:rsidRPr="00DD38FC">
        <w:rPr>
          <w:rFonts w:ascii="Times New Roman" w:eastAsia="Times New Roman" w:hAnsi="Times New Roman"/>
          <w:sz w:val="24"/>
          <w:szCs w:val="24"/>
          <w:lang w:eastAsia="en-US"/>
        </w:rPr>
        <w:t xml:space="preserve">favorable response </w:t>
      </w:r>
      <w:r w:rsidR="00A65B79">
        <w:rPr>
          <w:rFonts w:ascii="Times New Roman" w:eastAsia="Times New Roman" w:hAnsi="Times New Roman"/>
          <w:sz w:val="24"/>
          <w:szCs w:val="24"/>
          <w:lang w:eastAsia="en-US"/>
        </w:rPr>
        <w:t xml:space="preserve">(vs. unfavorable) </w:t>
      </w:r>
      <w:r w:rsidR="00677F84" w:rsidRPr="00DD38FC">
        <w:rPr>
          <w:rFonts w:ascii="Times New Roman" w:eastAsia="Times New Roman" w:hAnsi="Times New Roman"/>
          <w:sz w:val="24"/>
          <w:szCs w:val="24"/>
          <w:lang w:eastAsia="en-US"/>
        </w:rPr>
        <w:t>comparing</w:t>
      </w:r>
      <w:r w:rsidRPr="00B638D5">
        <w:rPr>
          <w:rFonts w:ascii="Times New Roman" w:eastAsia="Times New Roman" w:hAnsi="Times New Roman"/>
          <w:sz w:val="24"/>
          <w:szCs w:val="24"/>
          <w:lang w:eastAsia="en-US"/>
        </w:rPr>
        <w:t xml:space="preserve"> high dose to low dose</w:t>
      </w:r>
      <w:r w:rsidR="00677F84" w:rsidRPr="00DD38FC">
        <w:rPr>
          <w:rFonts w:ascii="Times New Roman" w:eastAsia="Times New Roman" w:hAnsi="Times New Roman"/>
          <w:sz w:val="24"/>
          <w:szCs w:val="24"/>
          <w:lang w:eastAsia="en-US"/>
        </w:rPr>
        <w:t>.</w:t>
      </w:r>
    </w:p>
    <w:p w:rsidR="00F1179D" w:rsidRDefault="00F1179D" w:rsidP="00DD38FC">
      <w:pPr>
        <w:pStyle w:val="ListParagraph"/>
        <w:spacing w:after="0"/>
        <w:jc w:val="both"/>
        <w:rPr>
          <w:rFonts w:ascii="Times New Roman" w:eastAsia="Times New Roman" w:hAnsi="Times New Roman"/>
          <w:sz w:val="24"/>
          <w:szCs w:val="24"/>
          <w:highlight w:val="yellow"/>
          <w:lang w:eastAsia="en-US"/>
        </w:rPr>
      </w:pPr>
    </w:p>
    <w:p w:rsidR="00F1179D" w:rsidRPr="00DD38FC" w:rsidRDefault="00412016" w:rsidP="00DD38FC">
      <w:pPr>
        <w:pStyle w:val="ListParagraph"/>
        <w:numPr>
          <w:ilvl w:val="1"/>
          <w:numId w:val="21"/>
        </w:num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  <w:r w:rsidRPr="00DD38FC">
        <w:rPr>
          <w:rFonts w:ascii="Times New Roman" w:eastAsia="Times New Roman" w:hAnsi="Times New Roman"/>
          <w:sz w:val="24"/>
          <w:szCs w:val="24"/>
          <w:lang w:eastAsia="en-US"/>
        </w:rPr>
        <w:t>Provide a two-sided 95% confidence interval for this odds ratio.</w:t>
      </w:r>
    </w:p>
    <w:p w:rsidR="00F1179D" w:rsidRPr="00DD38FC" w:rsidRDefault="00F1179D" w:rsidP="00DD38FC">
      <w:pPr>
        <w:pStyle w:val="ListParagraph"/>
        <w:spacing w:after="0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F1179D" w:rsidRPr="00DD38FC" w:rsidRDefault="00412016" w:rsidP="00DD38FC">
      <w:pPr>
        <w:pStyle w:val="ListParagraph"/>
        <w:numPr>
          <w:ilvl w:val="1"/>
          <w:numId w:val="21"/>
        </w:num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  <w:r w:rsidRPr="00DD38FC">
        <w:rPr>
          <w:rFonts w:ascii="Times New Roman" w:eastAsia="Times New Roman" w:hAnsi="Times New Roman"/>
          <w:sz w:val="24"/>
          <w:szCs w:val="24"/>
          <w:lang w:eastAsia="en-US"/>
        </w:rPr>
        <w:t xml:space="preserve">Interpret </w:t>
      </w:r>
      <w:r w:rsidR="00A65B79">
        <w:rPr>
          <w:rFonts w:ascii="Times New Roman" w:eastAsia="Times New Roman" w:hAnsi="Times New Roman"/>
          <w:sz w:val="24"/>
          <w:szCs w:val="24"/>
          <w:lang w:eastAsia="en-US"/>
        </w:rPr>
        <w:t>(</w:t>
      </w:r>
      <w:r w:rsidRPr="00DD38FC">
        <w:rPr>
          <w:rFonts w:ascii="Times New Roman" w:eastAsia="Times New Roman" w:hAnsi="Times New Roman"/>
          <w:sz w:val="24"/>
          <w:szCs w:val="24"/>
          <w:lang w:eastAsia="en-US"/>
        </w:rPr>
        <w:t>b.</w:t>
      </w:r>
      <w:r w:rsidR="00A65B79">
        <w:rPr>
          <w:rFonts w:ascii="Times New Roman" w:eastAsia="Times New Roman" w:hAnsi="Times New Roman"/>
          <w:sz w:val="24"/>
          <w:szCs w:val="24"/>
          <w:lang w:eastAsia="en-US"/>
        </w:rPr>
        <w:t>)</w:t>
      </w:r>
      <w:r w:rsidRPr="00DD38FC">
        <w:rPr>
          <w:rFonts w:ascii="Times New Roman" w:eastAsia="Times New Roman" w:hAnsi="Times New Roman"/>
          <w:sz w:val="24"/>
          <w:szCs w:val="24"/>
          <w:lang w:eastAsia="en-US"/>
        </w:rPr>
        <w:t xml:space="preserve"> in light of a statistical test for the association between dose group and response.</w:t>
      </w:r>
    </w:p>
    <w:p w:rsidR="00F1179D" w:rsidRDefault="00F1179D" w:rsidP="00DD38FC">
      <w:pPr>
        <w:pStyle w:val="ListParagraph"/>
        <w:spacing w:after="0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F1179D" w:rsidRPr="00DD38FC" w:rsidRDefault="00412016" w:rsidP="00DD38FC">
      <w:pPr>
        <w:pStyle w:val="ListParagraph"/>
        <w:numPr>
          <w:ilvl w:val="1"/>
          <w:numId w:val="21"/>
        </w:num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The contingency table from </w:t>
      </w:r>
      <w:r w:rsidR="00A65B79">
        <w:rPr>
          <w:rFonts w:ascii="Times New Roman" w:eastAsia="Times New Roman" w:hAnsi="Times New Roman"/>
          <w:sz w:val="24"/>
          <w:szCs w:val="24"/>
          <w:lang w:eastAsia="en-US"/>
        </w:rPr>
        <w:t>one of the c</w:t>
      </w:r>
      <w:r>
        <w:rPr>
          <w:rFonts w:ascii="Times New Roman" w:eastAsia="Times New Roman" w:hAnsi="Times New Roman"/>
          <w:sz w:val="24"/>
          <w:szCs w:val="24"/>
          <w:lang w:eastAsia="en-US"/>
        </w:rPr>
        <w:t>enter</w:t>
      </w:r>
      <w:r w:rsidR="00A65B79">
        <w:rPr>
          <w:rFonts w:ascii="Times New Roman" w:eastAsia="Times New Roman" w:hAnsi="Times New Roman"/>
          <w:sz w:val="24"/>
          <w:szCs w:val="24"/>
          <w:lang w:eastAsia="en-US"/>
        </w:rPr>
        <w:t>s</w:t>
      </w: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 is given below.</w:t>
      </w:r>
    </w:p>
    <w:p w:rsidR="00F1179D" w:rsidRDefault="00F1179D" w:rsidP="00DD38FC">
      <w:pPr>
        <w:pStyle w:val="ListParagraph"/>
        <w:spacing w:after="0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</w:p>
    <w:tbl>
      <w:tblPr>
        <w:tblW w:w="5469" w:type="dxa"/>
        <w:jc w:val="center"/>
        <w:tblLook w:val="0000" w:firstRow="0" w:lastRow="0" w:firstColumn="0" w:lastColumn="0" w:noHBand="0" w:noVBand="0"/>
      </w:tblPr>
      <w:tblGrid>
        <w:gridCol w:w="2189"/>
        <w:gridCol w:w="1486"/>
        <w:gridCol w:w="1794"/>
      </w:tblGrid>
      <w:tr w:rsidR="00412016" w:rsidRPr="002472F0" w:rsidTr="002472F0">
        <w:trPr>
          <w:trHeight w:val="255"/>
          <w:jc w:val="center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016" w:rsidRPr="002472F0" w:rsidRDefault="00412016" w:rsidP="00DD38F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Treatment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12016" w:rsidRDefault="00412016" w:rsidP="00DD38F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2472F0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Favorable</w:t>
            </w:r>
          </w:p>
          <w:p w:rsidR="00412016" w:rsidRPr="002472F0" w:rsidRDefault="00412016" w:rsidP="00DD38F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Response</w:t>
            </w: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12016" w:rsidRDefault="00412016" w:rsidP="00DD38F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2472F0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Unfavorable</w:t>
            </w:r>
          </w:p>
          <w:p w:rsidR="00412016" w:rsidRPr="002472F0" w:rsidRDefault="00412016" w:rsidP="00DD38F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Response</w:t>
            </w:r>
          </w:p>
        </w:tc>
      </w:tr>
      <w:tr w:rsidR="00412016" w:rsidRPr="002472F0" w:rsidTr="002472F0">
        <w:trPr>
          <w:trHeight w:val="255"/>
          <w:jc w:val="center"/>
        </w:trPr>
        <w:tc>
          <w:tcPr>
            <w:tcW w:w="218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016" w:rsidRPr="002472F0" w:rsidRDefault="00412016" w:rsidP="00DD38F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2472F0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High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D</w:t>
            </w:r>
            <w:r w:rsidRPr="002472F0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ose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:rsidR="00412016" w:rsidRPr="002472F0" w:rsidRDefault="00412016" w:rsidP="00DD38F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79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12016" w:rsidRPr="002472F0" w:rsidRDefault="00412016" w:rsidP="00DD38F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  <w:tr w:rsidR="00412016" w:rsidRPr="002472F0" w:rsidTr="002472F0">
        <w:trPr>
          <w:trHeight w:val="255"/>
          <w:jc w:val="center"/>
        </w:trPr>
        <w:tc>
          <w:tcPr>
            <w:tcW w:w="21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016" w:rsidRPr="002472F0" w:rsidRDefault="00412016" w:rsidP="00DD38F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2472F0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Low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D</w:t>
            </w:r>
            <w:r w:rsidRPr="002472F0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ose</w:t>
            </w:r>
          </w:p>
        </w:tc>
        <w:tc>
          <w:tcPr>
            <w:tcW w:w="14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12016" w:rsidRPr="002472F0" w:rsidRDefault="00412016" w:rsidP="00DD38F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12016" w:rsidRPr="002472F0" w:rsidRDefault="00412016" w:rsidP="00DD38F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4</w:t>
            </w:r>
          </w:p>
        </w:tc>
      </w:tr>
    </w:tbl>
    <w:p w:rsidR="00F1179D" w:rsidRPr="00DD38FC" w:rsidRDefault="00F1179D" w:rsidP="00DD38FC">
      <w:pPr>
        <w:pStyle w:val="ListParagraph"/>
        <w:spacing w:after="0"/>
        <w:ind w:left="907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412016" w:rsidRDefault="00412016" w:rsidP="00DD38FC">
      <w:pPr>
        <w:pStyle w:val="ListParagraph"/>
        <w:numPr>
          <w:ilvl w:val="2"/>
          <w:numId w:val="21"/>
        </w:numPr>
        <w:spacing w:after="0"/>
        <w:ind w:left="1051" w:hanging="187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  <w:r w:rsidRPr="00A50D3D">
        <w:rPr>
          <w:rFonts w:ascii="Times New Roman" w:eastAsia="Times New Roman" w:hAnsi="Times New Roman"/>
          <w:sz w:val="24"/>
          <w:szCs w:val="24"/>
          <w:lang w:eastAsia="en-US"/>
        </w:rPr>
        <w:t xml:space="preserve">Calculate a corresponding two-sided 95% confidence interval for the odds ratio for </w:t>
      </w:r>
      <w:r w:rsidR="00B638D5" w:rsidRPr="00DD38FC">
        <w:rPr>
          <w:rFonts w:ascii="Times New Roman" w:eastAsia="Times New Roman" w:hAnsi="Times New Roman"/>
          <w:sz w:val="24"/>
          <w:szCs w:val="24"/>
          <w:lang w:eastAsia="en-US"/>
        </w:rPr>
        <w:t xml:space="preserve">favorable response </w:t>
      </w:r>
      <w:r w:rsidR="00A65B79">
        <w:rPr>
          <w:rFonts w:ascii="Times New Roman" w:eastAsia="Times New Roman" w:hAnsi="Times New Roman"/>
          <w:sz w:val="24"/>
          <w:szCs w:val="24"/>
          <w:lang w:eastAsia="en-US"/>
        </w:rPr>
        <w:t xml:space="preserve">(vs. unfavorable) </w:t>
      </w:r>
      <w:r w:rsidR="00B638D5" w:rsidRPr="00DD38FC">
        <w:rPr>
          <w:rFonts w:ascii="Times New Roman" w:eastAsia="Times New Roman" w:hAnsi="Times New Roman"/>
          <w:sz w:val="24"/>
          <w:szCs w:val="24"/>
          <w:lang w:eastAsia="en-US"/>
        </w:rPr>
        <w:t>comparing high dose to low dose</w:t>
      </w:r>
      <w:r w:rsidRPr="00B638D5">
        <w:rPr>
          <w:rFonts w:ascii="Times New Roman" w:eastAsia="Times New Roman" w:hAnsi="Times New Roman"/>
          <w:sz w:val="24"/>
          <w:szCs w:val="24"/>
          <w:lang w:eastAsia="en-US"/>
        </w:rPr>
        <w:t xml:space="preserve"> for subjects in </w:t>
      </w:r>
      <w:r w:rsidR="00A65B79">
        <w:rPr>
          <w:rFonts w:ascii="Times New Roman" w:eastAsia="Times New Roman" w:hAnsi="Times New Roman"/>
          <w:sz w:val="24"/>
          <w:szCs w:val="24"/>
          <w:lang w:eastAsia="en-US"/>
        </w:rPr>
        <w:t>this c</w:t>
      </w:r>
      <w:r w:rsidRPr="00B638D5">
        <w:rPr>
          <w:rFonts w:ascii="Times New Roman" w:eastAsia="Times New Roman" w:hAnsi="Times New Roman"/>
          <w:sz w:val="24"/>
          <w:szCs w:val="24"/>
          <w:lang w:eastAsia="en-US"/>
        </w:rPr>
        <w:t>enter. Interpret</w:t>
      </w: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 the odds ratio estimate.</w:t>
      </w:r>
    </w:p>
    <w:p w:rsidR="00F1179D" w:rsidRDefault="00F1179D" w:rsidP="00DD38FC">
      <w:pPr>
        <w:pStyle w:val="ListParagraph"/>
        <w:spacing w:after="0"/>
        <w:ind w:left="907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412016" w:rsidRPr="00FB3763" w:rsidRDefault="00412016" w:rsidP="00DD38FC">
      <w:pPr>
        <w:pStyle w:val="ListParagraph"/>
        <w:numPr>
          <w:ilvl w:val="2"/>
          <w:numId w:val="21"/>
        </w:numPr>
        <w:spacing w:after="0"/>
        <w:ind w:left="1051" w:hanging="187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  <w:r w:rsidRPr="00FB3763">
        <w:rPr>
          <w:rFonts w:ascii="Times New Roman" w:eastAsia="Times New Roman" w:hAnsi="Times New Roman"/>
          <w:sz w:val="24"/>
          <w:szCs w:val="24"/>
          <w:lang w:eastAsia="en-US"/>
        </w:rPr>
        <w:t>Apply a two-sided statistical test. Justify your choice for the test.</w:t>
      </w:r>
    </w:p>
    <w:p w:rsidR="00234638" w:rsidRPr="00DD38FC" w:rsidRDefault="00234638" w:rsidP="00DD38FC">
      <w:pPr>
        <w:pStyle w:val="ListParagraph"/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A25161" w:rsidRDefault="00A2516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br w:type="page"/>
      </w:r>
    </w:p>
    <w:p w:rsidR="00746938" w:rsidRPr="00746938" w:rsidRDefault="00234638" w:rsidP="00F31A4D">
      <w:pPr>
        <w:pStyle w:val="ListParagraph"/>
        <w:spacing w:after="0"/>
        <w:ind w:left="360"/>
        <w:jc w:val="both"/>
        <w:rPr>
          <w:lang w:eastAsia="en-US"/>
        </w:rPr>
      </w:pPr>
      <w:r w:rsidRPr="00FB3763">
        <w:rPr>
          <w:rFonts w:ascii="Times New Roman" w:eastAsia="Times New Roman" w:hAnsi="Times New Roman"/>
          <w:sz w:val="24"/>
          <w:szCs w:val="24"/>
          <w:lang w:eastAsia="en-US"/>
        </w:rPr>
        <w:lastRenderedPageBreak/>
        <w:t>The data shown below are from a study to evaluate the performance of a screening test for 130 patients for whom a particular disorder was known to be present and for 84 patients for whom it</w:t>
      </w: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 was known to be absent.</w:t>
      </w:r>
    </w:p>
    <w:p w:rsidR="00820AC2" w:rsidRPr="00820AC2" w:rsidRDefault="00820AC2" w:rsidP="00DD38FC">
      <w:pPr>
        <w:spacing w:after="0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tbl>
      <w:tblPr>
        <w:tblW w:w="5300" w:type="dxa"/>
        <w:jc w:val="center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020"/>
        <w:gridCol w:w="2170"/>
        <w:gridCol w:w="1110"/>
      </w:tblGrid>
      <w:tr w:rsidR="00820AC2" w:rsidRPr="00234638" w:rsidTr="00DD38FC">
        <w:trPr>
          <w:trHeight w:val="255"/>
          <w:jc w:val="center"/>
        </w:trPr>
        <w:tc>
          <w:tcPr>
            <w:tcW w:w="20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AC2" w:rsidRPr="00DD38FC" w:rsidRDefault="00820AC2" w:rsidP="00DD38F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n-US"/>
              </w:rPr>
            </w:pPr>
            <w:r w:rsidRPr="00DD38FC">
              <w:rPr>
                <w:rFonts w:ascii="Times New Roman" w:eastAsia="Times New Roman" w:hAnsi="Times New Roman"/>
                <w:b/>
                <w:sz w:val="24"/>
                <w:szCs w:val="24"/>
                <w:lang w:eastAsia="en-US"/>
              </w:rPr>
              <w:t>Disease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AC2" w:rsidRPr="00DD38FC" w:rsidRDefault="00820AC2" w:rsidP="00DD38FC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  <w:lang w:eastAsia="en-US"/>
              </w:rPr>
            </w:pPr>
            <w:r w:rsidRPr="00DD38FC">
              <w:rPr>
                <w:rFonts w:ascii="Times New Roman" w:eastAsia="Times New Roman" w:hAnsi="Times New Roman"/>
                <w:b/>
                <w:sz w:val="24"/>
                <w:szCs w:val="24"/>
                <w:lang w:eastAsia="en-US"/>
              </w:rPr>
              <w:t>Test+         Test-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20AC2" w:rsidRPr="00DD38FC" w:rsidRDefault="00820AC2" w:rsidP="00DD38F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n-US"/>
              </w:rPr>
            </w:pPr>
            <w:r w:rsidRPr="00DD38FC">
              <w:rPr>
                <w:rFonts w:ascii="Times New Roman" w:eastAsia="Times New Roman" w:hAnsi="Times New Roman"/>
                <w:b/>
                <w:sz w:val="24"/>
                <w:szCs w:val="24"/>
                <w:lang w:eastAsia="en-US"/>
              </w:rPr>
              <w:t>Total</w:t>
            </w:r>
          </w:p>
        </w:tc>
      </w:tr>
      <w:tr w:rsidR="00820AC2" w:rsidRPr="00234638" w:rsidTr="00DD38FC">
        <w:trPr>
          <w:trHeight w:val="255"/>
          <w:jc w:val="center"/>
        </w:trPr>
        <w:tc>
          <w:tcPr>
            <w:tcW w:w="202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AC2" w:rsidRPr="00DD38FC" w:rsidRDefault="00820AC2" w:rsidP="00DD38F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D38FC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Present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AC2" w:rsidRPr="00DD38FC" w:rsidRDefault="00820AC2" w:rsidP="00DD38F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D38FC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 106               24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:rsidR="00820AC2" w:rsidRPr="00DD38FC" w:rsidRDefault="00820AC2" w:rsidP="00DD38F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D38FC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130</w:t>
            </w:r>
          </w:p>
        </w:tc>
      </w:tr>
      <w:tr w:rsidR="00820AC2" w:rsidRPr="00234638" w:rsidTr="00DD38FC">
        <w:trPr>
          <w:trHeight w:val="255"/>
          <w:jc w:val="center"/>
        </w:trPr>
        <w:tc>
          <w:tcPr>
            <w:tcW w:w="20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AC2" w:rsidRPr="00DD38FC" w:rsidRDefault="00820AC2" w:rsidP="00DD38F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D38FC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Absent</w:t>
            </w:r>
          </w:p>
        </w:tc>
        <w:tc>
          <w:tcPr>
            <w:tcW w:w="2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AC2" w:rsidRPr="00DD38FC" w:rsidRDefault="00820AC2" w:rsidP="00DD38F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D38FC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 26               58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20AC2" w:rsidRPr="00DD38FC" w:rsidRDefault="00820AC2" w:rsidP="00DD38F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D38FC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84</w:t>
            </w:r>
          </w:p>
        </w:tc>
      </w:tr>
    </w:tbl>
    <w:p w:rsidR="00234638" w:rsidRDefault="00234638" w:rsidP="00DD38FC">
      <w:pPr>
        <w:pStyle w:val="ListParagraph"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820AC2" w:rsidRDefault="00234638" w:rsidP="00DD38FC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/>
        <w:ind w:left="720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>Estimate the sensitivity and the specificity for the screening test.</w:t>
      </w:r>
    </w:p>
    <w:p w:rsidR="00234638" w:rsidRDefault="00234638" w:rsidP="00DD38FC">
      <w:pPr>
        <w:pStyle w:val="ListParagraph"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234638" w:rsidRPr="00DD38FC" w:rsidRDefault="00234638" w:rsidP="00DD38FC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/>
        <w:ind w:left="720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>Provide a two-sided 99% confidence interval for sensitivity.</w:t>
      </w:r>
    </w:p>
    <w:p w:rsidR="00234638" w:rsidRDefault="00234638" w:rsidP="00DD38FC">
      <w:pPr>
        <w:pStyle w:val="ListParagraph"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234638" w:rsidRPr="00DD38FC" w:rsidRDefault="00234638" w:rsidP="00DD38FC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/>
        <w:ind w:left="720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>Provide a two-sided 95% confidence interval for specificity.</w:t>
      </w:r>
    </w:p>
    <w:p w:rsidR="00234638" w:rsidRDefault="00234638" w:rsidP="00DD38FC">
      <w:pPr>
        <w:pStyle w:val="ListParagraph"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C82C45" w:rsidRDefault="00234638" w:rsidP="00DD38FC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/>
        <w:ind w:left="720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If 70% of the population has the disease and 30% does not, estimate the proportion </w:t>
      </w:r>
      <w:r w:rsidR="00C82C45">
        <w:rPr>
          <w:rFonts w:ascii="Times New Roman" w:eastAsia="Times New Roman" w:hAnsi="Times New Roman"/>
          <w:sz w:val="24"/>
          <w:szCs w:val="24"/>
          <w:lang w:eastAsia="en-US"/>
        </w:rPr>
        <w:t>of non-diseased patients among those who have a negative test.</w:t>
      </w:r>
    </w:p>
    <w:p w:rsidR="00F9161D" w:rsidRPr="00DD38FC" w:rsidRDefault="00F9161D" w:rsidP="00DD38FC">
      <w:pPr>
        <w:pStyle w:val="ListParagraph"/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F9161D" w:rsidRDefault="00F9161D" w:rsidP="00DD38F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ind w:left="360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>A randomized study was undertaken to evaluate whether a new eye drop was effective at clearing proteins from the eye lens (</w:t>
      </w:r>
      <w:r w:rsidRPr="00DD38FC">
        <w:rPr>
          <w:rFonts w:ascii="Times New Roman" w:eastAsia="Times New Roman" w:hAnsi="Times New Roman"/>
          <w:i/>
          <w:sz w:val="24"/>
          <w:szCs w:val="24"/>
          <w:lang w:eastAsia="en-US"/>
        </w:rPr>
        <w:t>i.e.,</w:t>
      </w: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 clearing proteins is the desired outcome). Each patient had the placebo </w:t>
      </w:r>
      <w:r w:rsidR="00A65B79">
        <w:rPr>
          <w:rFonts w:ascii="Times New Roman" w:eastAsia="Times New Roman" w:hAnsi="Times New Roman"/>
          <w:sz w:val="24"/>
          <w:szCs w:val="24"/>
          <w:lang w:eastAsia="en-US"/>
        </w:rPr>
        <w:t xml:space="preserve">drop </w:t>
      </w: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placed in one eye that was chosen at random and the new treatment </w:t>
      </w:r>
      <w:r w:rsidR="00A65B79">
        <w:rPr>
          <w:rFonts w:ascii="Times New Roman" w:eastAsia="Times New Roman" w:hAnsi="Times New Roman"/>
          <w:sz w:val="24"/>
          <w:szCs w:val="24"/>
          <w:lang w:eastAsia="en-US"/>
        </w:rPr>
        <w:t xml:space="preserve">drop </w:t>
      </w:r>
      <w:r>
        <w:rPr>
          <w:rFonts w:ascii="Times New Roman" w:eastAsia="Times New Roman" w:hAnsi="Times New Roman"/>
          <w:sz w:val="24"/>
          <w:szCs w:val="24"/>
          <w:lang w:eastAsia="en-US"/>
        </w:rPr>
        <w:t>in the other eye. There were 260 patients enrolled with the results as follows:</w:t>
      </w:r>
    </w:p>
    <w:p w:rsidR="00C86E93" w:rsidRDefault="00C86E93" w:rsidP="00DD38FC">
      <w:pPr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</w:p>
    <w:tbl>
      <w:tblPr>
        <w:tblW w:w="3355" w:type="dxa"/>
        <w:jc w:val="center"/>
        <w:tblLook w:val="0000" w:firstRow="0" w:lastRow="0" w:firstColumn="0" w:lastColumn="0" w:noHBand="0" w:noVBand="0"/>
      </w:tblPr>
      <w:tblGrid>
        <w:gridCol w:w="1223"/>
        <w:gridCol w:w="856"/>
        <w:gridCol w:w="1276"/>
      </w:tblGrid>
      <w:tr w:rsidR="00C86E93" w:rsidRPr="00D82C2F" w:rsidTr="00D82C2F">
        <w:trPr>
          <w:trHeight w:val="255"/>
          <w:jc w:val="center"/>
        </w:trPr>
        <w:tc>
          <w:tcPr>
            <w:tcW w:w="122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E93" w:rsidRPr="00D82C2F" w:rsidRDefault="00C86E93" w:rsidP="00D82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n-US"/>
              </w:rPr>
            </w:pPr>
            <w:r w:rsidRPr="00D82C2F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1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:rsidR="00C86E93" w:rsidRPr="00D82C2F" w:rsidRDefault="00C86E93" w:rsidP="00D82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n-US"/>
              </w:rPr>
            </w:pPr>
            <w:r w:rsidRPr="00D82C2F">
              <w:rPr>
                <w:rFonts w:ascii="Times New Roman" w:eastAsia="Times New Roman" w:hAnsi="Times New Roman"/>
                <w:b/>
                <w:sz w:val="24"/>
                <w:szCs w:val="24"/>
                <w:lang w:eastAsia="en-US"/>
              </w:rPr>
              <w:t>New Treatment</w:t>
            </w:r>
          </w:p>
        </w:tc>
      </w:tr>
      <w:tr w:rsidR="00C86E93" w:rsidRPr="00D82C2F" w:rsidTr="00D82C2F">
        <w:trPr>
          <w:trHeight w:val="255"/>
          <w:jc w:val="center"/>
        </w:trPr>
        <w:tc>
          <w:tcPr>
            <w:tcW w:w="122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E93" w:rsidRPr="00D82C2F" w:rsidRDefault="00C86E93" w:rsidP="00D82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en-US"/>
              </w:rPr>
              <w:t>Placebo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86E93" w:rsidRPr="00D82C2F" w:rsidRDefault="00C86E93" w:rsidP="00D82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82C2F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Clear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86E93" w:rsidRPr="00D82C2F" w:rsidRDefault="00C86E93" w:rsidP="00D82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82C2F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Not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C</w:t>
            </w:r>
            <w:r w:rsidRPr="00D82C2F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lear</w:t>
            </w:r>
          </w:p>
        </w:tc>
      </w:tr>
      <w:tr w:rsidR="00C86E93" w:rsidRPr="00D82C2F" w:rsidTr="00D82C2F">
        <w:trPr>
          <w:trHeight w:val="255"/>
          <w:jc w:val="center"/>
        </w:trPr>
        <w:tc>
          <w:tcPr>
            <w:tcW w:w="122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E93" w:rsidRPr="00D82C2F" w:rsidRDefault="00C86E93" w:rsidP="00D82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82C2F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Clear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:rsidR="00C86E93" w:rsidRPr="00D82C2F" w:rsidRDefault="00C86E93" w:rsidP="00D82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82C2F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136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86E93" w:rsidRPr="00D82C2F" w:rsidRDefault="00C86E93" w:rsidP="00D82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82C2F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19</w:t>
            </w:r>
          </w:p>
        </w:tc>
      </w:tr>
      <w:tr w:rsidR="00C86E93" w:rsidRPr="00D82C2F" w:rsidTr="00D82C2F">
        <w:trPr>
          <w:trHeight w:val="255"/>
          <w:jc w:val="center"/>
        </w:trPr>
        <w:tc>
          <w:tcPr>
            <w:tcW w:w="122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E93" w:rsidRPr="00D82C2F" w:rsidRDefault="00C86E93" w:rsidP="00D82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82C2F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Not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C</w:t>
            </w:r>
            <w:r w:rsidRPr="00D82C2F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lear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86E93" w:rsidRPr="00D82C2F" w:rsidRDefault="00C86E93" w:rsidP="00D82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82C2F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53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86E93" w:rsidRPr="00D82C2F" w:rsidRDefault="00C86E93" w:rsidP="00D82C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82C2F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52</w:t>
            </w:r>
          </w:p>
        </w:tc>
      </w:tr>
    </w:tbl>
    <w:p w:rsidR="00C86E93" w:rsidRPr="00DD38FC" w:rsidRDefault="00C86E93" w:rsidP="00DD38FC">
      <w:pPr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C86E93" w:rsidRDefault="00C86E93" w:rsidP="00DD38FC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/>
        <w:ind w:left="720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>Use a statistical test to assess whether the probability of clearing proteins with the new drop is the same as the probability of clearing proteins with the placebo</w:t>
      </w:r>
      <w:r w:rsidR="00A65B79">
        <w:rPr>
          <w:rFonts w:ascii="Times New Roman" w:eastAsia="Times New Roman" w:hAnsi="Times New Roman"/>
          <w:sz w:val="24"/>
          <w:szCs w:val="24"/>
          <w:lang w:eastAsia="en-US"/>
        </w:rPr>
        <w:t xml:space="preserve"> drop</w:t>
      </w: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. </w:t>
      </w:r>
      <w:r w:rsidR="00A65B79">
        <w:rPr>
          <w:rFonts w:ascii="Times New Roman" w:eastAsia="Times New Roman" w:hAnsi="Times New Roman"/>
          <w:sz w:val="24"/>
          <w:szCs w:val="24"/>
          <w:lang w:eastAsia="en-US"/>
        </w:rPr>
        <w:t xml:space="preserve">Justify </w:t>
      </w:r>
      <w:r>
        <w:rPr>
          <w:rFonts w:ascii="Times New Roman" w:eastAsia="Times New Roman" w:hAnsi="Times New Roman"/>
          <w:sz w:val="24"/>
          <w:szCs w:val="24"/>
          <w:lang w:eastAsia="en-US"/>
        </w:rPr>
        <w:t>why you used this test.</w:t>
      </w:r>
    </w:p>
    <w:p w:rsidR="00C86E93" w:rsidRPr="00DD38FC" w:rsidRDefault="00C86E93" w:rsidP="00DD38FC">
      <w:pPr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C86E93" w:rsidRPr="00DD38FC" w:rsidRDefault="00C86E93" w:rsidP="00DD38FC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/>
        <w:ind w:left="720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Is this result good news </w:t>
      </w:r>
      <w:r w:rsidR="00A65B79">
        <w:rPr>
          <w:rFonts w:ascii="Times New Roman" w:eastAsia="Times New Roman" w:hAnsi="Times New Roman"/>
          <w:sz w:val="24"/>
          <w:szCs w:val="24"/>
          <w:lang w:eastAsia="en-US"/>
        </w:rPr>
        <w:t xml:space="preserve">or bad news </w:t>
      </w:r>
      <w:r>
        <w:rPr>
          <w:rFonts w:ascii="Times New Roman" w:eastAsia="Times New Roman" w:hAnsi="Times New Roman"/>
          <w:sz w:val="24"/>
          <w:szCs w:val="24"/>
          <w:lang w:eastAsia="en-US"/>
        </w:rPr>
        <w:t>for the treatment</w:t>
      </w:r>
      <w:r w:rsidR="00A65B79">
        <w:rPr>
          <w:rFonts w:ascii="Times New Roman" w:eastAsia="Times New Roman" w:hAnsi="Times New Roman"/>
          <w:sz w:val="24"/>
          <w:szCs w:val="24"/>
          <w:lang w:eastAsia="en-US"/>
        </w:rPr>
        <w:t xml:space="preserve"> drop</w:t>
      </w:r>
      <w:r>
        <w:rPr>
          <w:rFonts w:ascii="Times New Roman" w:eastAsia="Times New Roman" w:hAnsi="Times New Roman"/>
          <w:sz w:val="24"/>
          <w:szCs w:val="24"/>
          <w:lang w:eastAsia="en-US"/>
        </w:rPr>
        <w:t>?</w:t>
      </w:r>
    </w:p>
    <w:p w:rsidR="00C86E93" w:rsidRPr="00DD38FC" w:rsidRDefault="00C86E93" w:rsidP="00DD38FC">
      <w:pPr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C86E93" w:rsidRDefault="00C86E93" w:rsidP="00DD38FC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/>
        <w:ind w:left="720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 [For BIOS students and those trying for an H grade]: Create a two-sided 90% confidence interval for the difference in proportion</w:t>
      </w:r>
      <w:r w:rsidR="00A65B79">
        <w:rPr>
          <w:rFonts w:ascii="Times New Roman" w:eastAsia="Times New Roman" w:hAnsi="Times New Roman"/>
          <w:sz w:val="24"/>
          <w:szCs w:val="24"/>
          <w:lang w:eastAsia="en-US"/>
        </w:rPr>
        <w:t>s</w:t>
      </w: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 of clearance between </w:t>
      </w:r>
      <w:r w:rsidR="00A65B79">
        <w:rPr>
          <w:rFonts w:ascii="Times New Roman" w:eastAsia="Times New Roman" w:hAnsi="Times New Roman"/>
          <w:sz w:val="24"/>
          <w:szCs w:val="24"/>
          <w:lang w:eastAsia="en-US"/>
        </w:rPr>
        <w:t xml:space="preserve">the new </w:t>
      </w:r>
      <w:r>
        <w:rPr>
          <w:rFonts w:ascii="Times New Roman" w:eastAsia="Times New Roman" w:hAnsi="Times New Roman"/>
          <w:sz w:val="24"/>
          <w:szCs w:val="24"/>
          <w:lang w:eastAsia="en-US"/>
        </w:rPr>
        <w:t>treatment and placebo.</w:t>
      </w:r>
    </w:p>
    <w:p w:rsidR="001F0776" w:rsidRPr="00DD38FC" w:rsidRDefault="001F0776" w:rsidP="00DD38FC">
      <w:pPr>
        <w:pStyle w:val="ListParagraph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A25161" w:rsidRDefault="00A2516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br w:type="page"/>
      </w:r>
    </w:p>
    <w:p w:rsidR="001F0776" w:rsidRDefault="004A58E2" w:rsidP="00DD38F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ind w:left="360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lastRenderedPageBreak/>
        <w:t xml:space="preserve">Suppose a new clinical trial is being planned to confirm the findings of the study from Problem #2 (all patients). Suppose the expected probabilities of </w:t>
      </w:r>
      <w:r w:rsidR="00B638D5">
        <w:rPr>
          <w:rFonts w:ascii="Times New Roman" w:eastAsia="Times New Roman" w:hAnsi="Times New Roman"/>
          <w:sz w:val="24"/>
          <w:szCs w:val="24"/>
          <w:lang w:eastAsia="en-US"/>
        </w:rPr>
        <w:t>favorable response</w:t>
      </w: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 are 0.75 for high dose and 0.40 for low dose.</w:t>
      </w:r>
    </w:p>
    <w:p w:rsidR="004A58E2" w:rsidRPr="00DD38FC" w:rsidRDefault="004A58E2" w:rsidP="00DD38FC">
      <w:pPr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4A58E2" w:rsidRDefault="004A58E2" w:rsidP="00DD38FC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/>
        <w:ind w:left="720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With </w:t>
      </w:r>
      <w:r w:rsidR="004F4291">
        <w:rPr>
          <w:rFonts w:ascii="Times New Roman" w:eastAsia="Times New Roman" w:hAnsi="Times New Roman"/>
          <w:sz w:val="24"/>
          <w:szCs w:val="24"/>
          <w:lang w:eastAsia="en-US"/>
        </w:rPr>
        <w:t xml:space="preserve">balanced allocation (i.e., </w:t>
      </w:r>
      <w:r>
        <w:rPr>
          <w:rFonts w:ascii="Times New Roman" w:eastAsia="Times New Roman" w:hAnsi="Times New Roman"/>
          <w:sz w:val="24"/>
          <w:szCs w:val="24"/>
          <w:lang w:eastAsia="en-US"/>
        </w:rPr>
        <w:t>equal sample size for each treatment</w:t>
      </w:r>
      <w:r w:rsidR="004F4291">
        <w:rPr>
          <w:rFonts w:ascii="Times New Roman" w:eastAsia="Times New Roman" w:hAnsi="Times New Roman"/>
          <w:sz w:val="24"/>
          <w:szCs w:val="24"/>
          <w:lang w:eastAsia="en-US"/>
        </w:rPr>
        <w:t xml:space="preserve"> group)</w:t>
      </w:r>
      <w:r>
        <w:rPr>
          <w:rFonts w:ascii="Times New Roman" w:eastAsia="Times New Roman" w:hAnsi="Times New Roman"/>
          <w:sz w:val="24"/>
          <w:szCs w:val="24"/>
          <w:lang w:eastAsia="en-US"/>
        </w:rPr>
        <w:t>, determine the sample sizes needed to provide about 0.90 power at the two-sided 0.05 significance level for this study.</w:t>
      </w:r>
    </w:p>
    <w:p w:rsidR="004A58E2" w:rsidRPr="00DD38FC" w:rsidRDefault="004A58E2" w:rsidP="00DD38FC">
      <w:pPr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4A58E2" w:rsidRDefault="004A58E2" w:rsidP="00DD38FC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/>
        <w:ind w:left="720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>With twice as many patients for high dose as for low dose, determine the sample sizes needed to provide about 0.80 power at the two-sided 0.01 significance level for this study with the same proportions as above.</w:t>
      </w:r>
    </w:p>
    <w:p w:rsidR="004A58E2" w:rsidRPr="00DD38FC" w:rsidRDefault="004A58E2" w:rsidP="00DD38FC">
      <w:pPr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4A58E2" w:rsidRDefault="004A58E2" w:rsidP="00DD38FC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/>
        <w:ind w:left="720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If at the end of the study there were 75 patients enrolled in each group, what is the power of the study if the proportions are the same as above, </w:t>
      </w:r>
      <w:r w:rsidR="004F4291">
        <w:rPr>
          <w:rFonts w:ascii="Times New Roman" w:eastAsia="Times New Roman" w:hAnsi="Times New Roman"/>
          <w:sz w:val="24"/>
          <w:szCs w:val="24"/>
          <w:lang w:eastAsia="en-US"/>
        </w:rPr>
        <w:t xml:space="preserve">under </w:t>
      </w:r>
      <w:r>
        <w:rPr>
          <w:rFonts w:ascii="Times New Roman" w:eastAsia="Times New Roman" w:hAnsi="Times New Roman"/>
          <w:sz w:val="24"/>
          <w:szCs w:val="24"/>
          <w:lang w:eastAsia="en-US"/>
        </w:rPr>
        <w:t>equal allocation and a significance level of 0.05?</w:t>
      </w:r>
    </w:p>
    <w:p w:rsidR="007578C1" w:rsidRDefault="007578C1" w:rsidP="00DD38FC">
      <w:pPr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0639DA" w:rsidRDefault="000639DA" w:rsidP="000639DA">
      <w:pPr>
        <w:autoSpaceDE w:val="0"/>
        <w:autoSpaceDN w:val="0"/>
        <w:adjustRightInd w:val="0"/>
        <w:spacing w:after="0" w:line="240" w:lineRule="auto"/>
      </w:pPr>
    </w:p>
    <w:p w:rsidR="003D3013" w:rsidRPr="00200665" w:rsidRDefault="003D3013" w:rsidP="00DD38F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n-US"/>
        </w:rPr>
      </w:pPr>
    </w:p>
    <w:sectPr w:rsidR="003D3013" w:rsidRPr="002006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A69" w:rsidRDefault="00575A69" w:rsidP="00237667">
      <w:pPr>
        <w:spacing w:after="0" w:line="240" w:lineRule="auto"/>
      </w:pPr>
      <w:r>
        <w:separator/>
      </w:r>
    </w:p>
  </w:endnote>
  <w:endnote w:type="continuationSeparator" w:id="0">
    <w:p w:rsidR="00575A69" w:rsidRDefault="00575A69" w:rsidP="0023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A69" w:rsidRDefault="00575A69" w:rsidP="00237667">
      <w:pPr>
        <w:spacing w:after="0" w:line="240" w:lineRule="auto"/>
      </w:pPr>
      <w:r>
        <w:separator/>
      </w:r>
    </w:p>
  </w:footnote>
  <w:footnote w:type="continuationSeparator" w:id="0">
    <w:p w:rsidR="00575A69" w:rsidRDefault="00575A69" w:rsidP="00237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334FFD" w:rsidRPr="00DD38FC" w:rsidRDefault="00334FFD">
        <w:pPr>
          <w:pStyle w:val="Header"/>
          <w:jc w:val="right"/>
          <w:rPr>
            <w:rFonts w:ascii="Times New Roman" w:hAnsi="Times New Roman"/>
            <w:sz w:val="24"/>
            <w:szCs w:val="24"/>
          </w:rPr>
        </w:pPr>
        <w:r w:rsidRPr="00DD38FC">
          <w:rPr>
            <w:rFonts w:ascii="Times New Roman" w:hAnsi="Times New Roman"/>
            <w:sz w:val="24"/>
            <w:szCs w:val="24"/>
          </w:rPr>
          <w:t>Name:</w:t>
        </w:r>
        <w:r>
          <w:tab/>
        </w:r>
        <w:r>
          <w:tab/>
        </w:r>
        <w:r w:rsidRPr="00DD38FC">
          <w:rPr>
            <w:rFonts w:ascii="Times New Roman" w:hAnsi="Times New Roman"/>
            <w:sz w:val="24"/>
            <w:szCs w:val="24"/>
          </w:rPr>
          <w:t xml:space="preserve">Page </w:t>
        </w:r>
        <w:r w:rsidRPr="00DD38FC">
          <w:rPr>
            <w:rFonts w:ascii="Times New Roman" w:hAnsi="Times New Roman"/>
            <w:bCs/>
            <w:sz w:val="24"/>
            <w:szCs w:val="24"/>
          </w:rPr>
          <w:fldChar w:fldCharType="begin"/>
        </w:r>
        <w:r w:rsidRPr="00DD38FC">
          <w:rPr>
            <w:rFonts w:ascii="Times New Roman" w:hAnsi="Times New Roman"/>
            <w:bCs/>
            <w:sz w:val="24"/>
            <w:szCs w:val="24"/>
          </w:rPr>
          <w:instrText xml:space="preserve"> PAGE </w:instrText>
        </w:r>
        <w:r w:rsidRPr="00DD38FC">
          <w:rPr>
            <w:rFonts w:ascii="Times New Roman" w:hAnsi="Times New Roman"/>
            <w:bCs/>
            <w:sz w:val="24"/>
            <w:szCs w:val="24"/>
          </w:rPr>
          <w:fldChar w:fldCharType="separate"/>
        </w:r>
        <w:r w:rsidR="000B0880">
          <w:rPr>
            <w:rFonts w:ascii="Times New Roman" w:hAnsi="Times New Roman"/>
            <w:bCs/>
            <w:noProof/>
            <w:sz w:val="24"/>
            <w:szCs w:val="24"/>
          </w:rPr>
          <w:t>4</w:t>
        </w:r>
        <w:r w:rsidRPr="00DD38FC">
          <w:rPr>
            <w:rFonts w:ascii="Times New Roman" w:hAnsi="Times New Roman"/>
            <w:bCs/>
            <w:sz w:val="24"/>
            <w:szCs w:val="24"/>
          </w:rPr>
          <w:fldChar w:fldCharType="end"/>
        </w:r>
        <w:r w:rsidRPr="00DD38FC">
          <w:rPr>
            <w:rFonts w:ascii="Times New Roman" w:hAnsi="Times New Roman"/>
            <w:sz w:val="24"/>
            <w:szCs w:val="24"/>
          </w:rPr>
          <w:t xml:space="preserve"> of </w:t>
        </w:r>
        <w:r w:rsidRPr="00DD38FC">
          <w:rPr>
            <w:rFonts w:ascii="Times New Roman" w:hAnsi="Times New Roman"/>
            <w:bCs/>
            <w:sz w:val="24"/>
            <w:szCs w:val="24"/>
          </w:rPr>
          <w:fldChar w:fldCharType="begin"/>
        </w:r>
        <w:r w:rsidRPr="00DD38FC">
          <w:rPr>
            <w:rFonts w:ascii="Times New Roman" w:hAnsi="Times New Roman"/>
            <w:bCs/>
            <w:sz w:val="24"/>
            <w:szCs w:val="24"/>
          </w:rPr>
          <w:instrText xml:space="preserve"> NUMPAGES  </w:instrText>
        </w:r>
        <w:r w:rsidRPr="00DD38FC">
          <w:rPr>
            <w:rFonts w:ascii="Times New Roman" w:hAnsi="Times New Roman"/>
            <w:bCs/>
            <w:sz w:val="24"/>
            <w:szCs w:val="24"/>
          </w:rPr>
          <w:fldChar w:fldCharType="separate"/>
        </w:r>
        <w:r w:rsidR="000B0880">
          <w:rPr>
            <w:rFonts w:ascii="Times New Roman" w:hAnsi="Times New Roman"/>
            <w:bCs/>
            <w:noProof/>
            <w:sz w:val="24"/>
            <w:szCs w:val="24"/>
          </w:rPr>
          <w:t>4</w:t>
        </w:r>
        <w:r w:rsidRPr="00DD38FC">
          <w:rPr>
            <w:rFonts w:ascii="Times New Roman" w:hAnsi="Times New Roman"/>
            <w:bCs/>
            <w:sz w:val="24"/>
            <w:szCs w:val="24"/>
          </w:rPr>
          <w:fldChar w:fldCharType="end"/>
        </w:r>
      </w:p>
    </w:sdtContent>
  </w:sdt>
  <w:p w:rsidR="00237667" w:rsidRPr="00334FFD" w:rsidRDefault="00237667" w:rsidP="00334F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05B0D"/>
    <w:multiLevelType w:val="hybridMultilevel"/>
    <w:tmpl w:val="69881C2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5D2A08"/>
    <w:multiLevelType w:val="hybridMultilevel"/>
    <w:tmpl w:val="E4704F28"/>
    <w:lvl w:ilvl="0" w:tplc="263C1B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B41E6"/>
    <w:multiLevelType w:val="hybridMultilevel"/>
    <w:tmpl w:val="53567372"/>
    <w:lvl w:ilvl="0" w:tplc="FCEEFAF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BD2D82"/>
    <w:multiLevelType w:val="hybridMultilevel"/>
    <w:tmpl w:val="FD08B62A"/>
    <w:lvl w:ilvl="0" w:tplc="013801A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CC90571"/>
    <w:multiLevelType w:val="hybridMultilevel"/>
    <w:tmpl w:val="EADCA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564B2"/>
    <w:multiLevelType w:val="hybridMultilevel"/>
    <w:tmpl w:val="B25E5156"/>
    <w:lvl w:ilvl="0" w:tplc="E17AA2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D6F3B"/>
    <w:multiLevelType w:val="hybridMultilevel"/>
    <w:tmpl w:val="15468D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82E36CB"/>
    <w:multiLevelType w:val="hybridMultilevel"/>
    <w:tmpl w:val="0C5A5E0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7536CB"/>
    <w:multiLevelType w:val="hybridMultilevel"/>
    <w:tmpl w:val="266A3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B45D3"/>
    <w:multiLevelType w:val="hybridMultilevel"/>
    <w:tmpl w:val="A0AA0BFC"/>
    <w:lvl w:ilvl="0" w:tplc="450068C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C94266"/>
    <w:multiLevelType w:val="hybridMultilevel"/>
    <w:tmpl w:val="FAD67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950A20"/>
    <w:multiLevelType w:val="hybridMultilevel"/>
    <w:tmpl w:val="CCC8BD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8259E1"/>
    <w:multiLevelType w:val="hybridMultilevel"/>
    <w:tmpl w:val="AFACEF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8C4961"/>
    <w:multiLevelType w:val="hybridMultilevel"/>
    <w:tmpl w:val="3634D380"/>
    <w:lvl w:ilvl="0" w:tplc="04090017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5AC79E6"/>
    <w:multiLevelType w:val="multilevel"/>
    <w:tmpl w:val="5FBC207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904"/>
      <w:numFmt w:val="decimal"/>
      <w:lvlText w:val="%1.%2"/>
      <w:lvlJc w:val="left"/>
      <w:pPr>
        <w:ind w:left="406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5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1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7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20" w:hanging="1800"/>
      </w:pPr>
      <w:rPr>
        <w:rFonts w:hint="default"/>
      </w:rPr>
    </w:lvl>
  </w:abstractNum>
  <w:abstractNum w:abstractNumId="15" w15:restartNumberingAfterBreak="0">
    <w:nsid w:val="5FC97E36"/>
    <w:multiLevelType w:val="hybridMultilevel"/>
    <w:tmpl w:val="1226AF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1C5054"/>
    <w:multiLevelType w:val="hybridMultilevel"/>
    <w:tmpl w:val="DE5C1A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AD656E5"/>
    <w:multiLevelType w:val="hybridMultilevel"/>
    <w:tmpl w:val="1A882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95019"/>
    <w:multiLevelType w:val="hybridMultilevel"/>
    <w:tmpl w:val="39EC75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1D4DBD"/>
    <w:multiLevelType w:val="hybridMultilevel"/>
    <w:tmpl w:val="2B6E9D8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72E050A8"/>
    <w:multiLevelType w:val="hybridMultilevel"/>
    <w:tmpl w:val="08A4E5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FD2AC8"/>
    <w:multiLevelType w:val="hybridMultilevel"/>
    <w:tmpl w:val="E6087872"/>
    <w:lvl w:ilvl="0" w:tplc="F0F44EA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D574EF"/>
    <w:multiLevelType w:val="hybridMultilevel"/>
    <w:tmpl w:val="97CCDC9C"/>
    <w:lvl w:ilvl="0" w:tplc="AFA6EFB6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BB5402"/>
    <w:multiLevelType w:val="hybridMultilevel"/>
    <w:tmpl w:val="1674E356"/>
    <w:lvl w:ilvl="0" w:tplc="B4A0CD5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9B7A96"/>
    <w:multiLevelType w:val="hybridMultilevel"/>
    <w:tmpl w:val="15EEB06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E7947BA"/>
    <w:multiLevelType w:val="hybridMultilevel"/>
    <w:tmpl w:val="AEAC81DA"/>
    <w:lvl w:ilvl="0" w:tplc="7BD86F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FED70B3"/>
    <w:multiLevelType w:val="hybridMultilevel"/>
    <w:tmpl w:val="A7805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6"/>
  </w:num>
  <w:num w:numId="4">
    <w:abstractNumId w:val="24"/>
  </w:num>
  <w:num w:numId="5">
    <w:abstractNumId w:val="9"/>
  </w:num>
  <w:num w:numId="6">
    <w:abstractNumId w:val="2"/>
  </w:num>
  <w:num w:numId="7">
    <w:abstractNumId w:val="21"/>
  </w:num>
  <w:num w:numId="8">
    <w:abstractNumId w:val="20"/>
  </w:num>
  <w:num w:numId="9">
    <w:abstractNumId w:val="3"/>
  </w:num>
  <w:num w:numId="10">
    <w:abstractNumId w:val="0"/>
  </w:num>
  <w:num w:numId="11">
    <w:abstractNumId w:val="15"/>
  </w:num>
  <w:num w:numId="12">
    <w:abstractNumId w:val="7"/>
  </w:num>
  <w:num w:numId="13">
    <w:abstractNumId w:val="25"/>
  </w:num>
  <w:num w:numId="14">
    <w:abstractNumId w:val="14"/>
  </w:num>
  <w:num w:numId="15">
    <w:abstractNumId w:val="5"/>
  </w:num>
  <w:num w:numId="16">
    <w:abstractNumId w:val="23"/>
  </w:num>
  <w:num w:numId="17">
    <w:abstractNumId w:val="17"/>
  </w:num>
  <w:num w:numId="18">
    <w:abstractNumId w:val="16"/>
  </w:num>
  <w:num w:numId="19">
    <w:abstractNumId w:val="26"/>
  </w:num>
  <w:num w:numId="20">
    <w:abstractNumId w:val="12"/>
  </w:num>
  <w:num w:numId="21">
    <w:abstractNumId w:val="1"/>
  </w:num>
  <w:num w:numId="22">
    <w:abstractNumId w:val="4"/>
  </w:num>
  <w:num w:numId="23">
    <w:abstractNumId w:val="19"/>
  </w:num>
  <w:num w:numId="24">
    <w:abstractNumId w:val="18"/>
  </w:num>
  <w:num w:numId="25">
    <w:abstractNumId w:val="11"/>
  </w:num>
  <w:num w:numId="26">
    <w:abstractNumId w:val="1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16"/>
    <w:rsid w:val="0003505D"/>
    <w:rsid w:val="000639DA"/>
    <w:rsid w:val="000A755E"/>
    <w:rsid w:val="000B0880"/>
    <w:rsid w:val="000C720B"/>
    <w:rsid w:val="001309D0"/>
    <w:rsid w:val="00145014"/>
    <w:rsid w:val="001B65A3"/>
    <w:rsid w:val="001F0776"/>
    <w:rsid w:val="00200665"/>
    <w:rsid w:val="00234638"/>
    <w:rsid w:val="00236FBA"/>
    <w:rsid w:val="00237667"/>
    <w:rsid w:val="00264DC6"/>
    <w:rsid w:val="002A451D"/>
    <w:rsid w:val="002A6D6A"/>
    <w:rsid w:val="002C27BC"/>
    <w:rsid w:val="00334FFD"/>
    <w:rsid w:val="00336FFE"/>
    <w:rsid w:val="00361E8A"/>
    <w:rsid w:val="003975A1"/>
    <w:rsid w:val="003C42B8"/>
    <w:rsid w:val="003D3013"/>
    <w:rsid w:val="00412016"/>
    <w:rsid w:val="004775ED"/>
    <w:rsid w:val="0048199E"/>
    <w:rsid w:val="00497EE9"/>
    <w:rsid w:val="004A58E2"/>
    <w:rsid w:val="004F4291"/>
    <w:rsid w:val="00560EE4"/>
    <w:rsid w:val="00575A69"/>
    <w:rsid w:val="00622A79"/>
    <w:rsid w:val="00641F96"/>
    <w:rsid w:val="00677F84"/>
    <w:rsid w:val="006C1B61"/>
    <w:rsid w:val="006F561C"/>
    <w:rsid w:val="00740BFB"/>
    <w:rsid w:val="00746938"/>
    <w:rsid w:val="007578C1"/>
    <w:rsid w:val="007911F1"/>
    <w:rsid w:val="00797EE6"/>
    <w:rsid w:val="007A3B23"/>
    <w:rsid w:val="007C4681"/>
    <w:rsid w:val="007D6910"/>
    <w:rsid w:val="008049CA"/>
    <w:rsid w:val="0080537C"/>
    <w:rsid w:val="00813045"/>
    <w:rsid w:val="00820AC2"/>
    <w:rsid w:val="00834E23"/>
    <w:rsid w:val="00866894"/>
    <w:rsid w:val="008C5F8F"/>
    <w:rsid w:val="00906062"/>
    <w:rsid w:val="0092734D"/>
    <w:rsid w:val="009554D3"/>
    <w:rsid w:val="009A18D0"/>
    <w:rsid w:val="00A06B17"/>
    <w:rsid w:val="00A25161"/>
    <w:rsid w:val="00A50D3D"/>
    <w:rsid w:val="00A54EDB"/>
    <w:rsid w:val="00A65B79"/>
    <w:rsid w:val="00A83D5E"/>
    <w:rsid w:val="00A9762A"/>
    <w:rsid w:val="00AC14A1"/>
    <w:rsid w:val="00B638D5"/>
    <w:rsid w:val="00BB2690"/>
    <w:rsid w:val="00BB6752"/>
    <w:rsid w:val="00BE122B"/>
    <w:rsid w:val="00C45469"/>
    <w:rsid w:val="00C82C45"/>
    <w:rsid w:val="00C86E93"/>
    <w:rsid w:val="00CA06D8"/>
    <w:rsid w:val="00CF6696"/>
    <w:rsid w:val="00D16589"/>
    <w:rsid w:val="00D31E20"/>
    <w:rsid w:val="00DD38FC"/>
    <w:rsid w:val="00DD4F8C"/>
    <w:rsid w:val="00DE0416"/>
    <w:rsid w:val="00DE1C14"/>
    <w:rsid w:val="00DF0160"/>
    <w:rsid w:val="00E87FE0"/>
    <w:rsid w:val="00EB5E4A"/>
    <w:rsid w:val="00EE120B"/>
    <w:rsid w:val="00F1179D"/>
    <w:rsid w:val="00F31A4D"/>
    <w:rsid w:val="00F9161D"/>
    <w:rsid w:val="00FA2ECF"/>
    <w:rsid w:val="00FB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D0DCF6-A391-48FD-9730-7ED43241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F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66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3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66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FF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04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9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9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9CA"/>
    <w:rPr>
      <w:b/>
      <w:bCs/>
    </w:rPr>
  </w:style>
  <w:style w:type="paragraph" w:styleId="Revision">
    <w:name w:val="Revision"/>
    <w:hidden/>
    <w:uiPriority w:val="99"/>
    <w:semiHidden/>
    <w:rsid w:val="008049C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907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00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310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586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054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8F54D-2473-489C-958D-AA0CA9225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Sylvia</dc:creator>
  <cp:lastModifiedBy>Li, Siying</cp:lastModifiedBy>
  <cp:revision>5</cp:revision>
  <cp:lastPrinted>2015-07-21T18:59:00Z</cp:lastPrinted>
  <dcterms:created xsi:type="dcterms:W3CDTF">2017-06-01T20:45:00Z</dcterms:created>
  <dcterms:modified xsi:type="dcterms:W3CDTF">2017-06-01T21:29:00Z</dcterms:modified>
</cp:coreProperties>
</file>