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1289" w14:textId="05BBAEDF" w:rsidR="00B41B20" w:rsidRDefault="00B41B20" w:rsidP="001B3854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p w14:paraId="0C3063DA" w14:textId="77777777" w:rsidR="007D2C26" w:rsidRDefault="007D2C26" w:rsidP="001B3854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p w14:paraId="37B4256A" w14:textId="5FE3EBB3" w:rsidR="001B3854" w:rsidRPr="00E02365" w:rsidRDefault="001B3854" w:rsidP="001B3854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 w:rsidRPr="00E02365">
        <w:rPr>
          <w:rFonts w:ascii="Arial" w:hAnsi="Arial" w:cs="Arial"/>
          <w:b/>
          <w:sz w:val="22"/>
          <w:szCs w:val="22"/>
        </w:rPr>
        <w:t>Individual Data Analysis Exam Part 2</w:t>
      </w:r>
    </w:p>
    <w:p w14:paraId="150C196B" w14:textId="01113ECD" w:rsidR="001B3854" w:rsidRPr="00E02365" w:rsidRDefault="001B3854" w:rsidP="001B3854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 w:rsidRPr="00E02365">
        <w:rPr>
          <w:rFonts w:ascii="Arial" w:hAnsi="Arial" w:cs="Arial"/>
          <w:sz w:val="22"/>
          <w:szCs w:val="22"/>
        </w:rPr>
        <w:t>EPID 600: Principles of Epidemiology for Public Health</w:t>
      </w:r>
    </w:p>
    <w:p w14:paraId="53552176" w14:textId="77777777" w:rsidR="001B3854" w:rsidRPr="00206B62" w:rsidRDefault="001B3854" w:rsidP="00206B62">
      <w:pPr>
        <w:rPr>
          <w:rFonts w:ascii="Arial" w:hAnsi="Arial" w:cs="Arial"/>
          <w:sz w:val="22"/>
          <w:szCs w:val="22"/>
        </w:rPr>
      </w:pPr>
    </w:p>
    <w:p w14:paraId="371532C9" w14:textId="6C43D6AD" w:rsidR="00A07138" w:rsidRPr="00A07138" w:rsidRDefault="001B3854" w:rsidP="00A0713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i/>
          <w:sz w:val="22"/>
          <w:szCs w:val="22"/>
        </w:rPr>
      </w:pPr>
      <w:r w:rsidRPr="00E02365">
        <w:rPr>
          <w:rFonts w:ascii="Arial" w:hAnsi="Arial" w:cs="Arial"/>
          <w:b/>
          <w:sz w:val="22"/>
          <w:szCs w:val="22"/>
        </w:rPr>
        <w:t xml:space="preserve">Calculate the cohort study measures of </w:t>
      </w:r>
      <w:r w:rsidR="00674BAA" w:rsidRPr="00E02365">
        <w:rPr>
          <w:rFonts w:ascii="Arial" w:hAnsi="Arial" w:cs="Arial"/>
          <w:b/>
          <w:sz w:val="22"/>
          <w:szCs w:val="22"/>
        </w:rPr>
        <w:t>comparison/</w:t>
      </w:r>
      <w:r w:rsidRPr="00E02365">
        <w:rPr>
          <w:rFonts w:ascii="Arial" w:hAnsi="Arial" w:cs="Arial"/>
          <w:b/>
          <w:sz w:val="22"/>
          <w:szCs w:val="22"/>
        </w:rPr>
        <w:t>association</w:t>
      </w:r>
    </w:p>
    <w:p w14:paraId="018F92C7" w14:textId="77777777" w:rsidR="00A07138" w:rsidRPr="00A07138" w:rsidRDefault="00A07138" w:rsidP="00A07138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6192" w:type="dxa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134"/>
        <w:gridCol w:w="1591"/>
        <w:gridCol w:w="1438"/>
      </w:tblGrid>
      <w:tr w:rsidR="001B3854" w:rsidRPr="00E02365" w14:paraId="3DCCFE92" w14:textId="77777777" w:rsidTr="00DB7C54">
        <w:trPr>
          <w:trHeight w:val="240"/>
        </w:trPr>
        <w:tc>
          <w:tcPr>
            <w:tcW w:w="6192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14:paraId="2E34E1F3" w14:textId="75DB0F60" w:rsidR="001B3854" w:rsidRPr="00E02365" w:rsidRDefault="00B66FFB" w:rsidP="00DB7C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Risk Difference, Risk Ratio, Risk Rate and Confidence Intervals f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rom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Cohort Study of </w:t>
            </w:r>
            <w:r w:rsidR="00DF61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UNC25 Exposure </w:t>
            </w:r>
            <w:proofErr w:type="gramStart"/>
            <w:r w:rsidR="00DF61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Cancer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of 100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Individuals from UNC Family Practice Clinics Between </w:t>
            </w:r>
            <w:r w:rsidRPr="00B66FF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January 1, 2000, and December 31, 2009.</w:t>
            </w:r>
          </w:p>
        </w:tc>
      </w:tr>
      <w:tr w:rsidR="001B3854" w:rsidRPr="00E02365" w14:paraId="318B8F97" w14:textId="77777777" w:rsidTr="00DB7C54">
        <w:trPr>
          <w:trHeight w:val="240"/>
        </w:trPr>
        <w:tc>
          <w:tcPr>
            <w:tcW w:w="2029" w:type="dxa"/>
            <w:noWrap/>
          </w:tcPr>
          <w:p w14:paraId="7C4EF1F7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sz w:val="22"/>
                <w:szCs w:val="22"/>
              </w:rPr>
              <w:t>Measure</w:t>
            </w:r>
          </w:p>
        </w:tc>
        <w:tc>
          <w:tcPr>
            <w:tcW w:w="1134" w:type="dxa"/>
            <w:noWrap/>
          </w:tcPr>
          <w:p w14:paraId="7BA58325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Estimate </w:t>
            </w:r>
          </w:p>
        </w:tc>
        <w:tc>
          <w:tcPr>
            <w:tcW w:w="3029" w:type="dxa"/>
            <w:gridSpan w:val="2"/>
            <w:noWrap/>
          </w:tcPr>
          <w:p w14:paraId="17A50A5F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sz w:val="22"/>
                <w:szCs w:val="22"/>
              </w:rPr>
              <w:t>95% Confidence Interval</w:t>
            </w:r>
          </w:p>
        </w:tc>
      </w:tr>
      <w:tr w:rsidR="001B3854" w:rsidRPr="00E02365" w14:paraId="24F58B39" w14:textId="77777777" w:rsidTr="00DB7C54">
        <w:trPr>
          <w:trHeight w:val="240"/>
        </w:trPr>
        <w:tc>
          <w:tcPr>
            <w:tcW w:w="2029" w:type="dxa"/>
            <w:noWrap/>
          </w:tcPr>
          <w:p w14:paraId="52106CB8" w14:textId="77777777" w:rsidR="001B3854" w:rsidRPr="00E02365" w:rsidRDefault="001B3854" w:rsidP="00DB7C5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02365">
              <w:rPr>
                <w:rFonts w:ascii="Arial" w:hAnsi="Arial" w:cs="Arial"/>
                <w:bCs/>
                <w:sz w:val="22"/>
                <w:szCs w:val="22"/>
              </w:rPr>
              <w:t>Risk Difference</w:t>
            </w:r>
          </w:p>
        </w:tc>
        <w:tc>
          <w:tcPr>
            <w:tcW w:w="1134" w:type="dxa"/>
            <w:noWrap/>
          </w:tcPr>
          <w:p w14:paraId="5B27B904" w14:textId="41DD9C58" w:rsidR="001B3854" w:rsidRPr="00E02365" w:rsidRDefault="00A76FB1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9.502 (per 100 persons)</w:t>
            </w:r>
          </w:p>
        </w:tc>
        <w:tc>
          <w:tcPr>
            <w:tcW w:w="1591" w:type="dxa"/>
            <w:noWrap/>
          </w:tcPr>
          <w:p w14:paraId="1DF1B70E" w14:textId="01017373" w:rsidR="001B3854" w:rsidRPr="00E02365" w:rsidRDefault="001170B1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170B1">
              <w:rPr>
                <w:rFonts w:ascii="Arial" w:hAnsi="Arial" w:cs="Arial"/>
                <w:sz w:val="22"/>
                <w:szCs w:val="22"/>
              </w:rPr>
              <w:t>5.247</w:t>
            </w:r>
          </w:p>
        </w:tc>
        <w:tc>
          <w:tcPr>
            <w:tcW w:w="1438" w:type="dxa"/>
            <w:noWrap/>
          </w:tcPr>
          <w:p w14:paraId="5D085D70" w14:textId="10C656C5" w:rsidR="001B3854" w:rsidRPr="00E02365" w:rsidRDefault="001170B1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170B1">
              <w:rPr>
                <w:rFonts w:ascii="Arial" w:hAnsi="Arial" w:cs="Arial"/>
                <w:sz w:val="22"/>
                <w:szCs w:val="22"/>
              </w:rPr>
              <w:t>13.76</w:t>
            </w:r>
          </w:p>
        </w:tc>
      </w:tr>
      <w:tr w:rsidR="001B3854" w:rsidRPr="00E02365" w14:paraId="4D423269" w14:textId="77777777" w:rsidTr="00DB7C54">
        <w:trPr>
          <w:trHeight w:val="240"/>
        </w:trPr>
        <w:tc>
          <w:tcPr>
            <w:tcW w:w="2029" w:type="dxa"/>
            <w:noWrap/>
          </w:tcPr>
          <w:p w14:paraId="7AEAD502" w14:textId="77777777" w:rsidR="001B3854" w:rsidRPr="00E02365" w:rsidRDefault="001B3854" w:rsidP="00DB7C54">
            <w:pPr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Hlk1737500"/>
            <w:r w:rsidRPr="00E02365">
              <w:rPr>
                <w:rFonts w:ascii="Arial" w:hAnsi="Arial" w:cs="Arial"/>
                <w:bCs/>
                <w:sz w:val="22"/>
                <w:szCs w:val="22"/>
              </w:rPr>
              <w:t>Risk Ratio</w:t>
            </w:r>
          </w:p>
        </w:tc>
        <w:tc>
          <w:tcPr>
            <w:tcW w:w="1134" w:type="dxa"/>
            <w:noWrap/>
          </w:tcPr>
          <w:p w14:paraId="1DFA9C9F" w14:textId="7BB83568" w:rsidR="001B3854" w:rsidRPr="00E02365" w:rsidRDefault="00A76FB1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3.93</w:t>
            </w:r>
            <w:r w:rsidR="001170B1">
              <w:rPr>
                <w:rFonts w:ascii="Arial" w:hAnsi="Arial" w:cs="Arial"/>
                <w:i/>
                <w:sz w:val="22"/>
                <w:szCs w:val="22"/>
              </w:rPr>
              <w:t>4</w:t>
            </w:r>
          </w:p>
        </w:tc>
        <w:tc>
          <w:tcPr>
            <w:tcW w:w="1591" w:type="dxa"/>
            <w:noWrap/>
          </w:tcPr>
          <w:p w14:paraId="32575302" w14:textId="03FF7F02" w:rsidR="001B3854" w:rsidRPr="00E02365" w:rsidRDefault="001170B1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170B1">
              <w:rPr>
                <w:rFonts w:ascii="Arial" w:hAnsi="Arial" w:cs="Arial"/>
                <w:i/>
                <w:sz w:val="22"/>
                <w:szCs w:val="22"/>
              </w:rPr>
              <w:t>2.371</w:t>
            </w:r>
          </w:p>
        </w:tc>
        <w:tc>
          <w:tcPr>
            <w:tcW w:w="1438" w:type="dxa"/>
            <w:noWrap/>
          </w:tcPr>
          <w:p w14:paraId="5B1845FF" w14:textId="12A2CB6C" w:rsidR="001B3854" w:rsidRPr="00E02365" w:rsidRDefault="001170B1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170B1">
              <w:rPr>
                <w:rFonts w:ascii="Arial" w:hAnsi="Arial" w:cs="Arial"/>
                <w:i/>
                <w:sz w:val="22"/>
                <w:szCs w:val="22"/>
              </w:rPr>
              <w:t>6.527</w:t>
            </w:r>
          </w:p>
        </w:tc>
      </w:tr>
      <w:bookmarkEnd w:id="0"/>
      <w:tr w:rsidR="001B3854" w:rsidRPr="00E02365" w14:paraId="07A405B3" w14:textId="77777777" w:rsidTr="00DB7C54">
        <w:trPr>
          <w:trHeight w:val="240"/>
        </w:trPr>
        <w:tc>
          <w:tcPr>
            <w:tcW w:w="2029" w:type="dxa"/>
            <w:noWrap/>
          </w:tcPr>
          <w:p w14:paraId="7F94B9C3" w14:textId="77777777" w:rsidR="001B3854" w:rsidRPr="00E02365" w:rsidRDefault="001B3854" w:rsidP="00DB7C5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02365">
              <w:rPr>
                <w:rFonts w:ascii="Arial" w:hAnsi="Arial" w:cs="Arial"/>
                <w:bCs/>
                <w:sz w:val="22"/>
                <w:szCs w:val="22"/>
              </w:rPr>
              <w:t>Rate Ratio</w:t>
            </w:r>
          </w:p>
        </w:tc>
        <w:tc>
          <w:tcPr>
            <w:tcW w:w="1134" w:type="dxa"/>
            <w:noWrap/>
          </w:tcPr>
          <w:p w14:paraId="07A762F5" w14:textId="2EF4C5A0" w:rsidR="001B3854" w:rsidRPr="00E02365" w:rsidRDefault="00725E79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.9531</w:t>
            </w:r>
          </w:p>
        </w:tc>
        <w:tc>
          <w:tcPr>
            <w:tcW w:w="1591" w:type="dxa"/>
            <w:noWrap/>
          </w:tcPr>
          <w:p w14:paraId="3B8C00E2" w14:textId="5178CB6E" w:rsidR="001B3854" w:rsidRPr="00E02365" w:rsidRDefault="00725E79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25E79">
              <w:rPr>
                <w:rFonts w:ascii="Arial" w:hAnsi="Arial" w:cs="Arial"/>
                <w:sz w:val="22"/>
                <w:szCs w:val="22"/>
              </w:rPr>
              <w:t xml:space="preserve">0.5634 </w:t>
            </w:r>
          </w:p>
        </w:tc>
        <w:tc>
          <w:tcPr>
            <w:tcW w:w="1438" w:type="dxa"/>
            <w:noWrap/>
          </w:tcPr>
          <w:p w14:paraId="050ABA91" w14:textId="462D4339" w:rsidR="001B3854" w:rsidRPr="00E02365" w:rsidRDefault="00725E79" w:rsidP="00DB7C5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25E79">
              <w:rPr>
                <w:rFonts w:ascii="Arial" w:hAnsi="Arial" w:cs="Arial"/>
                <w:sz w:val="22"/>
                <w:szCs w:val="22"/>
              </w:rPr>
              <w:t>1.612</w:t>
            </w:r>
          </w:p>
        </w:tc>
      </w:tr>
    </w:tbl>
    <w:p w14:paraId="3A7B6045" w14:textId="77777777" w:rsidR="001B3854" w:rsidRPr="00E02365" w:rsidRDefault="001B3854" w:rsidP="001B3854">
      <w:pPr>
        <w:rPr>
          <w:rFonts w:ascii="Arial" w:hAnsi="Arial" w:cs="Arial"/>
          <w:sz w:val="22"/>
          <w:szCs w:val="22"/>
        </w:rPr>
      </w:pPr>
    </w:p>
    <w:p w14:paraId="2A291268" w14:textId="5C898707" w:rsidR="001B3854" w:rsidRDefault="001B3854" w:rsidP="001B385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02365">
        <w:rPr>
          <w:rFonts w:ascii="Arial" w:hAnsi="Arial" w:cs="Arial"/>
          <w:sz w:val="22"/>
          <w:szCs w:val="22"/>
        </w:rPr>
        <w:t>Interpret, using complete sentences, each of your estimates:</w:t>
      </w:r>
    </w:p>
    <w:p w14:paraId="04B3E35F" w14:textId="3A5B879D" w:rsidR="001B3854" w:rsidRDefault="001B3854" w:rsidP="001B3854">
      <w:pPr>
        <w:pStyle w:val="ListParagraph"/>
        <w:numPr>
          <w:ilvl w:val="1"/>
          <w:numId w:val="1"/>
        </w:numPr>
        <w:ind w:left="1170"/>
        <w:rPr>
          <w:rFonts w:ascii="Arial" w:hAnsi="Arial" w:cs="Arial"/>
          <w:sz w:val="22"/>
          <w:szCs w:val="22"/>
        </w:rPr>
      </w:pPr>
      <w:r w:rsidRPr="00E02365">
        <w:rPr>
          <w:rFonts w:ascii="Arial" w:hAnsi="Arial" w:cs="Arial"/>
          <w:sz w:val="22"/>
          <w:szCs w:val="22"/>
        </w:rPr>
        <w:t>Risk difference (RD) &amp; 95% CI [</w:t>
      </w:r>
      <w:r w:rsidRPr="00E02365">
        <w:rPr>
          <w:rFonts w:ascii="Arial" w:hAnsi="Arial" w:cs="Arial"/>
          <w:i/>
          <w:sz w:val="22"/>
          <w:szCs w:val="22"/>
        </w:rPr>
        <w:t>5pts</w:t>
      </w:r>
      <w:r w:rsidRPr="00E02365">
        <w:rPr>
          <w:rFonts w:ascii="Arial" w:hAnsi="Arial" w:cs="Arial"/>
          <w:sz w:val="22"/>
          <w:szCs w:val="22"/>
        </w:rPr>
        <w:t>]</w:t>
      </w:r>
    </w:p>
    <w:p w14:paraId="646E5F0F" w14:textId="77777777" w:rsidR="00351419" w:rsidRDefault="00351419" w:rsidP="00351419">
      <w:pPr>
        <w:pStyle w:val="ListParagraph"/>
        <w:ind w:left="1170"/>
        <w:rPr>
          <w:rFonts w:ascii="Arial" w:hAnsi="Arial" w:cs="Arial"/>
          <w:sz w:val="22"/>
          <w:szCs w:val="22"/>
        </w:rPr>
      </w:pPr>
    </w:p>
    <w:p w14:paraId="633A7D8F" w14:textId="435223E9" w:rsidR="00A66439" w:rsidRPr="00351419" w:rsidRDefault="00351419" w:rsidP="00A66439">
      <w:pPr>
        <w:pStyle w:val="ListParagraph"/>
        <w:ind w:left="1170"/>
        <w:rPr>
          <w:rFonts w:ascii="Arial" w:hAnsi="Arial" w:cs="Arial"/>
          <w:b/>
          <w:i/>
          <w:sz w:val="22"/>
          <w:szCs w:val="22"/>
        </w:rPr>
      </w:pPr>
      <w:r w:rsidRPr="00351419">
        <w:rPr>
          <w:rFonts w:ascii="Arial" w:hAnsi="Arial" w:cs="Arial"/>
          <w:b/>
          <w:i/>
          <w:sz w:val="22"/>
          <w:szCs w:val="22"/>
        </w:rPr>
        <w:t xml:space="preserve">The risk of cancer was </w:t>
      </w:r>
      <w:r w:rsidRPr="00351419">
        <w:rPr>
          <w:rFonts w:ascii="Arial" w:hAnsi="Arial" w:cs="Arial"/>
          <w:b/>
          <w:i/>
          <w:sz w:val="22"/>
          <w:szCs w:val="22"/>
        </w:rPr>
        <w:t>9.502</w:t>
      </w:r>
      <w:r w:rsidRPr="00351419">
        <w:rPr>
          <w:rFonts w:ascii="Arial" w:hAnsi="Arial" w:cs="Arial"/>
          <w:b/>
          <w:i/>
          <w:sz w:val="22"/>
          <w:szCs w:val="22"/>
        </w:rPr>
        <w:t xml:space="preserve"> cases per 100 persons higher in the group exposed to the virus than in the group unexposed to the virus</w:t>
      </w:r>
      <w:r w:rsidR="00A66439" w:rsidRPr="00351419">
        <w:rPr>
          <w:rFonts w:ascii="Arial" w:hAnsi="Arial" w:cs="Arial"/>
          <w:b/>
          <w:i/>
          <w:sz w:val="22"/>
          <w:szCs w:val="22"/>
        </w:rPr>
        <w:t xml:space="preserve">. </w:t>
      </w:r>
      <w:r w:rsidR="00A66439" w:rsidRPr="00F42DED">
        <w:rPr>
          <w:rFonts w:ascii="Arial" w:hAnsi="Arial" w:cs="Arial"/>
          <w:b/>
          <w:i/>
          <w:sz w:val="22"/>
          <w:szCs w:val="22"/>
        </w:rPr>
        <w:t xml:space="preserve">We are 95% confident that the </w:t>
      </w:r>
      <w:r w:rsidR="00A66439">
        <w:rPr>
          <w:rFonts w:ascii="Arial" w:hAnsi="Arial" w:cs="Arial"/>
          <w:b/>
          <w:i/>
          <w:sz w:val="22"/>
          <w:szCs w:val="22"/>
        </w:rPr>
        <w:t xml:space="preserve">risk </w:t>
      </w:r>
      <w:r w:rsidR="00A66439">
        <w:rPr>
          <w:rFonts w:ascii="Arial" w:hAnsi="Arial" w:cs="Arial"/>
          <w:b/>
          <w:i/>
          <w:sz w:val="22"/>
          <w:szCs w:val="22"/>
        </w:rPr>
        <w:t>difference</w:t>
      </w:r>
      <w:r w:rsidR="00A66439" w:rsidRPr="00F42DED">
        <w:rPr>
          <w:rFonts w:ascii="Arial" w:hAnsi="Arial" w:cs="Arial"/>
          <w:b/>
          <w:i/>
          <w:sz w:val="22"/>
          <w:szCs w:val="22"/>
        </w:rPr>
        <w:t xml:space="preserve"> of </w:t>
      </w:r>
      <w:r w:rsidR="00A66439">
        <w:rPr>
          <w:rFonts w:ascii="Arial" w:hAnsi="Arial" w:cs="Arial"/>
          <w:b/>
          <w:i/>
          <w:sz w:val="22"/>
          <w:szCs w:val="22"/>
        </w:rPr>
        <w:t>cancer in those exposed to the virus compared those unexposed</w:t>
      </w:r>
      <w:r w:rsidR="00A66439" w:rsidRPr="00F42DED">
        <w:rPr>
          <w:rFonts w:ascii="Arial" w:hAnsi="Arial" w:cs="Arial"/>
          <w:b/>
          <w:i/>
          <w:sz w:val="22"/>
          <w:szCs w:val="22"/>
        </w:rPr>
        <w:t xml:space="preserve"> is between </w:t>
      </w:r>
      <w:r w:rsidR="00A66439">
        <w:rPr>
          <w:rFonts w:ascii="Arial" w:hAnsi="Arial" w:cs="Arial"/>
          <w:b/>
          <w:i/>
          <w:sz w:val="22"/>
          <w:szCs w:val="22"/>
        </w:rPr>
        <w:t>.5634 and 1.612</w:t>
      </w:r>
      <w:r w:rsidR="00A66439" w:rsidRPr="00F42DED">
        <w:rPr>
          <w:rFonts w:ascii="Arial" w:hAnsi="Arial" w:cs="Arial"/>
          <w:b/>
          <w:i/>
          <w:sz w:val="22"/>
          <w:szCs w:val="22"/>
        </w:rPr>
        <w:t xml:space="preserve">. Since the 95% </w:t>
      </w:r>
      <w:r w:rsidR="00A66439">
        <w:rPr>
          <w:rFonts w:ascii="Arial" w:hAnsi="Arial" w:cs="Arial"/>
          <w:b/>
          <w:i/>
          <w:sz w:val="22"/>
          <w:szCs w:val="22"/>
        </w:rPr>
        <w:t xml:space="preserve">CI </w:t>
      </w:r>
      <w:r w:rsidR="00A66439" w:rsidRPr="00F42DED">
        <w:rPr>
          <w:rFonts w:ascii="Arial" w:hAnsi="Arial" w:cs="Arial"/>
          <w:b/>
          <w:i/>
          <w:sz w:val="22"/>
          <w:szCs w:val="22"/>
        </w:rPr>
        <w:t>does not include the null value (</w:t>
      </w:r>
      <w:r w:rsidR="00A66439">
        <w:rPr>
          <w:rFonts w:ascii="Arial" w:hAnsi="Arial" w:cs="Arial"/>
          <w:b/>
          <w:i/>
          <w:sz w:val="22"/>
          <w:szCs w:val="22"/>
        </w:rPr>
        <w:t>0</w:t>
      </w:r>
      <w:r w:rsidR="00A66439">
        <w:rPr>
          <w:rFonts w:ascii="Arial" w:hAnsi="Arial" w:cs="Arial"/>
          <w:b/>
          <w:i/>
          <w:sz w:val="22"/>
          <w:szCs w:val="22"/>
        </w:rPr>
        <w:t xml:space="preserve">) </w:t>
      </w:r>
      <w:r w:rsidR="00A66439" w:rsidRPr="00F42DED">
        <w:rPr>
          <w:rFonts w:ascii="Arial" w:hAnsi="Arial" w:cs="Arial"/>
          <w:b/>
          <w:i/>
          <w:sz w:val="22"/>
          <w:szCs w:val="22"/>
        </w:rPr>
        <w:t>the finding is statistically significant.</w:t>
      </w:r>
    </w:p>
    <w:p w14:paraId="78561464" w14:textId="77777777" w:rsidR="00351419" w:rsidRPr="00A07138" w:rsidRDefault="00351419" w:rsidP="00A07138">
      <w:pPr>
        <w:rPr>
          <w:rFonts w:ascii="Arial" w:hAnsi="Arial" w:cs="Arial"/>
          <w:sz w:val="22"/>
          <w:szCs w:val="22"/>
        </w:rPr>
      </w:pPr>
    </w:p>
    <w:p w14:paraId="042660D9" w14:textId="425E66DF" w:rsidR="001B3854" w:rsidRDefault="001B3854" w:rsidP="001B3854">
      <w:pPr>
        <w:pStyle w:val="ListParagraph"/>
        <w:numPr>
          <w:ilvl w:val="1"/>
          <w:numId w:val="1"/>
        </w:numPr>
        <w:ind w:left="1170"/>
        <w:rPr>
          <w:rFonts w:ascii="Arial" w:hAnsi="Arial" w:cs="Arial"/>
          <w:sz w:val="22"/>
          <w:szCs w:val="22"/>
        </w:rPr>
      </w:pPr>
      <w:r w:rsidRPr="00E02365">
        <w:rPr>
          <w:rFonts w:ascii="Arial" w:hAnsi="Arial" w:cs="Arial"/>
          <w:sz w:val="22"/>
          <w:szCs w:val="22"/>
        </w:rPr>
        <w:t>Risk ratio (RR) &amp; 95% CI [</w:t>
      </w:r>
      <w:r w:rsidRPr="00E02365">
        <w:rPr>
          <w:rFonts w:ascii="Arial" w:hAnsi="Arial" w:cs="Arial"/>
          <w:i/>
          <w:sz w:val="22"/>
          <w:szCs w:val="22"/>
        </w:rPr>
        <w:t>5pts</w:t>
      </w:r>
      <w:r w:rsidRPr="00E02365">
        <w:rPr>
          <w:rFonts w:ascii="Arial" w:hAnsi="Arial" w:cs="Arial"/>
          <w:sz w:val="22"/>
          <w:szCs w:val="22"/>
        </w:rPr>
        <w:t>]</w:t>
      </w:r>
    </w:p>
    <w:p w14:paraId="3A9D4AD6" w14:textId="785D58E5" w:rsidR="00351419" w:rsidRDefault="00351419" w:rsidP="00351419">
      <w:pPr>
        <w:rPr>
          <w:rFonts w:ascii="Arial" w:hAnsi="Arial" w:cs="Arial"/>
          <w:sz w:val="22"/>
          <w:szCs w:val="22"/>
        </w:rPr>
      </w:pPr>
    </w:p>
    <w:p w14:paraId="302848B8" w14:textId="09B6045D" w:rsidR="00351419" w:rsidRPr="00EB3BBB" w:rsidRDefault="00351419" w:rsidP="00EB3BBB">
      <w:pPr>
        <w:pStyle w:val="ListParagraph"/>
        <w:ind w:left="1170"/>
        <w:rPr>
          <w:rFonts w:ascii="Arial" w:hAnsi="Arial" w:cs="Arial"/>
          <w:b/>
          <w:i/>
          <w:sz w:val="22"/>
          <w:szCs w:val="22"/>
        </w:rPr>
      </w:pPr>
      <w:r w:rsidRPr="00351419">
        <w:rPr>
          <w:rFonts w:ascii="Arial" w:hAnsi="Arial" w:cs="Arial"/>
          <w:b/>
          <w:i/>
          <w:sz w:val="22"/>
          <w:szCs w:val="22"/>
        </w:rPr>
        <w:t xml:space="preserve">Among those exposed to the virus, the risk of being diagnosed with cancer was </w:t>
      </w:r>
      <w:r w:rsidRPr="00351419">
        <w:rPr>
          <w:rFonts w:ascii="Arial" w:hAnsi="Arial" w:cs="Arial"/>
          <w:b/>
          <w:i/>
          <w:sz w:val="22"/>
          <w:szCs w:val="22"/>
        </w:rPr>
        <w:t>3.934</w:t>
      </w:r>
      <w:r w:rsidRPr="00351419">
        <w:rPr>
          <w:rFonts w:ascii="Arial" w:hAnsi="Arial" w:cs="Arial"/>
          <w:b/>
          <w:i/>
          <w:sz w:val="22"/>
          <w:szCs w:val="22"/>
        </w:rPr>
        <w:t xml:space="preserve"> times as likely compared with those not exposed to the virus.</w:t>
      </w:r>
      <w:r w:rsidRPr="00351419">
        <w:rPr>
          <w:rFonts w:ascii="Arial" w:hAnsi="Arial" w:cs="Arial"/>
          <w:b/>
          <w:i/>
          <w:sz w:val="22"/>
          <w:szCs w:val="22"/>
        </w:rPr>
        <w:t xml:space="preserve"> 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We are 95% confident that the </w:t>
      </w:r>
      <w:r w:rsidR="00F42DED">
        <w:rPr>
          <w:rFonts w:ascii="Arial" w:hAnsi="Arial" w:cs="Arial"/>
          <w:b/>
          <w:i/>
          <w:sz w:val="22"/>
          <w:szCs w:val="22"/>
        </w:rPr>
        <w:t>risk ratio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 of </w:t>
      </w:r>
      <w:r w:rsidR="00F42DED">
        <w:rPr>
          <w:rFonts w:ascii="Arial" w:hAnsi="Arial" w:cs="Arial"/>
          <w:b/>
          <w:i/>
          <w:sz w:val="22"/>
          <w:szCs w:val="22"/>
        </w:rPr>
        <w:t>cancer in those exposed to the virus compared those unexposed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 is between </w:t>
      </w:r>
      <w:r w:rsidR="00F42DED">
        <w:rPr>
          <w:rFonts w:ascii="Arial" w:hAnsi="Arial" w:cs="Arial"/>
          <w:b/>
          <w:i/>
          <w:sz w:val="22"/>
          <w:szCs w:val="22"/>
        </w:rPr>
        <w:t>2.371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 and </w:t>
      </w:r>
      <w:r w:rsidR="00F42DED">
        <w:rPr>
          <w:rFonts w:ascii="Arial" w:hAnsi="Arial" w:cs="Arial"/>
          <w:b/>
          <w:i/>
          <w:sz w:val="22"/>
          <w:szCs w:val="22"/>
        </w:rPr>
        <w:t>6.527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. Since the 95% </w:t>
      </w:r>
      <w:r w:rsidR="00F42DED">
        <w:rPr>
          <w:rFonts w:ascii="Arial" w:hAnsi="Arial" w:cs="Arial"/>
          <w:b/>
          <w:i/>
          <w:sz w:val="22"/>
          <w:szCs w:val="22"/>
        </w:rPr>
        <w:t xml:space="preserve">CI </w:t>
      </w:r>
      <w:r w:rsidR="00F42DED" w:rsidRPr="00F42DED">
        <w:rPr>
          <w:rFonts w:ascii="Arial" w:hAnsi="Arial" w:cs="Arial"/>
          <w:b/>
          <w:i/>
          <w:sz w:val="22"/>
          <w:szCs w:val="22"/>
        </w:rPr>
        <w:t>does not include the null value (</w:t>
      </w:r>
      <w:r w:rsidR="00F42DED">
        <w:rPr>
          <w:rFonts w:ascii="Arial" w:hAnsi="Arial" w:cs="Arial"/>
          <w:b/>
          <w:i/>
          <w:sz w:val="22"/>
          <w:szCs w:val="22"/>
        </w:rPr>
        <w:t xml:space="preserve">1) </w:t>
      </w:r>
      <w:r w:rsidR="00F42DED" w:rsidRPr="00F42DED">
        <w:rPr>
          <w:rFonts w:ascii="Arial" w:hAnsi="Arial" w:cs="Arial"/>
          <w:b/>
          <w:i/>
          <w:sz w:val="22"/>
          <w:szCs w:val="22"/>
        </w:rPr>
        <w:t>the finding is statistically significant.</w:t>
      </w:r>
    </w:p>
    <w:p w14:paraId="3E8CC4E7" w14:textId="77777777" w:rsidR="00351419" w:rsidRPr="00351419" w:rsidRDefault="00351419" w:rsidP="00351419">
      <w:pPr>
        <w:rPr>
          <w:rFonts w:ascii="Arial" w:hAnsi="Arial" w:cs="Arial"/>
          <w:sz w:val="22"/>
          <w:szCs w:val="22"/>
        </w:rPr>
      </w:pPr>
    </w:p>
    <w:p w14:paraId="283A30D2" w14:textId="77777777" w:rsidR="00351419" w:rsidRDefault="001B3854" w:rsidP="00351419">
      <w:pPr>
        <w:pStyle w:val="ListParagraph"/>
        <w:numPr>
          <w:ilvl w:val="1"/>
          <w:numId w:val="1"/>
        </w:numPr>
        <w:ind w:left="1170"/>
        <w:rPr>
          <w:rFonts w:ascii="Arial" w:hAnsi="Arial" w:cs="Arial"/>
          <w:sz w:val="22"/>
          <w:szCs w:val="22"/>
        </w:rPr>
      </w:pPr>
      <w:r w:rsidRPr="00E02365">
        <w:rPr>
          <w:rFonts w:ascii="Arial" w:hAnsi="Arial" w:cs="Arial"/>
          <w:sz w:val="22"/>
          <w:szCs w:val="22"/>
        </w:rPr>
        <w:t>Rate ratio (</w:t>
      </w:r>
      <w:proofErr w:type="gramStart"/>
      <w:r w:rsidRPr="00E02365">
        <w:rPr>
          <w:rFonts w:ascii="Arial" w:hAnsi="Arial" w:cs="Arial"/>
          <w:sz w:val="22"/>
          <w:szCs w:val="22"/>
        </w:rPr>
        <w:t>IRR)  &amp;</w:t>
      </w:r>
      <w:proofErr w:type="gramEnd"/>
      <w:r w:rsidRPr="00E02365">
        <w:rPr>
          <w:rFonts w:ascii="Arial" w:hAnsi="Arial" w:cs="Arial"/>
          <w:sz w:val="22"/>
          <w:szCs w:val="22"/>
        </w:rPr>
        <w:t xml:space="preserve"> 95% CI [</w:t>
      </w:r>
      <w:r w:rsidRPr="00E02365">
        <w:rPr>
          <w:rFonts w:ascii="Arial" w:hAnsi="Arial" w:cs="Arial"/>
          <w:i/>
          <w:sz w:val="22"/>
          <w:szCs w:val="22"/>
        </w:rPr>
        <w:t>5pts</w:t>
      </w:r>
      <w:r w:rsidRPr="00E02365">
        <w:rPr>
          <w:rFonts w:ascii="Arial" w:hAnsi="Arial" w:cs="Arial"/>
          <w:sz w:val="22"/>
          <w:szCs w:val="22"/>
        </w:rPr>
        <w:t>]</w:t>
      </w:r>
    </w:p>
    <w:p w14:paraId="1E3602EC" w14:textId="77777777" w:rsidR="00351419" w:rsidRDefault="00351419" w:rsidP="00351419">
      <w:pPr>
        <w:pStyle w:val="ListParagraph"/>
        <w:ind w:left="1170"/>
        <w:rPr>
          <w:rFonts w:ascii="Arial" w:hAnsi="Arial" w:cs="Arial"/>
          <w:b/>
          <w:i/>
          <w:sz w:val="22"/>
          <w:szCs w:val="22"/>
        </w:rPr>
      </w:pPr>
    </w:p>
    <w:p w14:paraId="03594F8B" w14:textId="1B6E5A34" w:rsidR="001B3854" w:rsidRDefault="00351419" w:rsidP="00206B62">
      <w:pPr>
        <w:pStyle w:val="ListParagraph"/>
        <w:ind w:left="1170"/>
        <w:rPr>
          <w:rFonts w:ascii="Arial" w:hAnsi="Arial" w:cs="Arial"/>
          <w:b/>
          <w:i/>
          <w:sz w:val="22"/>
          <w:szCs w:val="22"/>
        </w:rPr>
      </w:pPr>
      <w:r w:rsidRPr="00351419">
        <w:rPr>
          <w:rFonts w:ascii="Arial" w:hAnsi="Arial" w:cs="Arial"/>
          <w:b/>
          <w:i/>
          <w:sz w:val="22"/>
          <w:szCs w:val="22"/>
        </w:rPr>
        <w:t xml:space="preserve">The rate of cancer among those exposed to the virus was </w:t>
      </w:r>
      <w:r w:rsidRPr="00351419">
        <w:rPr>
          <w:rFonts w:ascii="Arial" w:hAnsi="Arial" w:cs="Arial"/>
          <w:b/>
          <w:i/>
          <w:sz w:val="22"/>
          <w:szCs w:val="22"/>
        </w:rPr>
        <w:t>.9531</w:t>
      </w:r>
      <w:r w:rsidRPr="00351419">
        <w:rPr>
          <w:rFonts w:ascii="Arial" w:hAnsi="Arial" w:cs="Arial"/>
          <w:b/>
          <w:i/>
          <w:sz w:val="22"/>
          <w:szCs w:val="22"/>
        </w:rPr>
        <w:t xml:space="preserve"> times the rate of cancer of those not exposed to the virus.</w:t>
      </w:r>
      <w:r w:rsidRPr="00351419">
        <w:rPr>
          <w:rFonts w:ascii="Arial" w:hAnsi="Arial" w:cs="Arial"/>
          <w:b/>
          <w:i/>
          <w:sz w:val="22"/>
          <w:szCs w:val="22"/>
        </w:rPr>
        <w:t xml:space="preserve"> 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We are 95% confident that the </w:t>
      </w:r>
      <w:r w:rsidR="00F42DED">
        <w:rPr>
          <w:rFonts w:ascii="Arial" w:hAnsi="Arial" w:cs="Arial"/>
          <w:b/>
          <w:i/>
          <w:sz w:val="22"/>
          <w:szCs w:val="22"/>
        </w:rPr>
        <w:t>rate ratio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 of </w:t>
      </w:r>
      <w:r w:rsidR="00F42DED">
        <w:rPr>
          <w:rFonts w:ascii="Arial" w:hAnsi="Arial" w:cs="Arial"/>
          <w:b/>
          <w:i/>
          <w:sz w:val="22"/>
          <w:szCs w:val="22"/>
        </w:rPr>
        <w:t>cancer in those exposed to the virus compared those unexposed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 is between</w:t>
      </w:r>
      <w:r w:rsidR="00F42DED">
        <w:rPr>
          <w:rFonts w:ascii="Arial" w:hAnsi="Arial" w:cs="Arial"/>
          <w:b/>
          <w:i/>
          <w:sz w:val="22"/>
          <w:szCs w:val="22"/>
        </w:rPr>
        <w:t xml:space="preserve"> .5634 and 1.612. Since the 95% CI includes the null value (1) t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here is insufficient evidence to conclude that the </w:t>
      </w:r>
      <w:r w:rsidR="00F42DED">
        <w:rPr>
          <w:rFonts w:ascii="Arial" w:hAnsi="Arial" w:cs="Arial"/>
          <w:b/>
          <w:i/>
          <w:sz w:val="22"/>
          <w:szCs w:val="22"/>
        </w:rPr>
        <w:t>finding is</w:t>
      </w:r>
      <w:r w:rsidR="00F42DED" w:rsidRPr="00F42DED">
        <w:rPr>
          <w:rFonts w:ascii="Arial" w:hAnsi="Arial" w:cs="Arial"/>
          <w:b/>
          <w:i/>
          <w:sz w:val="22"/>
          <w:szCs w:val="22"/>
        </w:rPr>
        <w:t xml:space="preserve"> statistically significantl</w:t>
      </w:r>
      <w:r w:rsidR="00A07138">
        <w:rPr>
          <w:rFonts w:ascii="Arial" w:hAnsi="Arial" w:cs="Arial"/>
          <w:b/>
          <w:i/>
          <w:sz w:val="22"/>
          <w:szCs w:val="22"/>
        </w:rPr>
        <w:t>y.</w:t>
      </w:r>
    </w:p>
    <w:p w14:paraId="73874797" w14:textId="77777777" w:rsidR="00A07138" w:rsidRPr="00E02365" w:rsidRDefault="00A07138" w:rsidP="00206B62">
      <w:pPr>
        <w:pStyle w:val="ListParagraph"/>
        <w:ind w:left="1170"/>
        <w:rPr>
          <w:rFonts w:ascii="Arial" w:hAnsi="Arial" w:cs="Arial"/>
          <w:sz w:val="22"/>
          <w:szCs w:val="22"/>
        </w:rPr>
      </w:pPr>
    </w:p>
    <w:p w14:paraId="144D4610" w14:textId="7E3B822B" w:rsidR="001B3854" w:rsidRPr="00E02365" w:rsidRDefault="001B3854" w:rsidP="001B385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02365">
        <w:rPr>
          <w:rFonts w:ascii="Arial" w:hAnsi="Arial" w:cs="Arial"/>
          <w:b/>
          <w:sz w:val="22"/>
          <w:szCs w:val="22"/>
        </w:rPr>
        <w:t xml:space="preserve">Calculate the case-control study measure of </w:t>
      </w:r>
      <w:r w:rsidR="00674BAA" w:rsidRPr="00E02365">
        <w:rPr>
          <w:rFonts w:ascii="Arial" w:hAnsi="Arial" w:cs="Arial"/>
          <w:b/>
          <w:sz w:val="22"/>
          <w:szCs w:val="22"/>
        </w:rPr>
        <w:t>comparison/</w:t>
      </w:r>
      <w:r w:rsidRPr="00E02365">
        <w:rPr>
          <w:rFonts w:ascii="Arial" w:hAnsi="Arial" w:cs="Arial"/>
          <w:b/>
          <w:sz w:val="22"/>
          <w:szCs w:val="22"/>
        </w:rPr>
        <w:t>association</w:t>
      </w:r>
      <w:r w:rsidRPr="00E02365">
        <w:rPr>
          <w:rFonts w:ascii="Arial" w:hAnsi="Arial" w:cs="Arial"/>
          <w:sz w:val="22"/>
          <w:szCs w:val="22"/>
        </w:rPr>
        <w:t xml:space="preserve">. Calculate the odds ratio and </w:t>
      </w:r>
      <w:r w:rsidR="00BB7237">
        <w:rPr>
          <w:rFonts w:ascii="Arial" w:hAnsi="Arial" w:cs="Arial"/>
          <w:sz w:val="22"/>
          <w:szCs w:val="22"/>
        </w:rPr>
        <w:t>OR</w:t>
      </w:r>
      <w:r w:rsidRPr="00E02365">
        <w:rPr>
          <w:rFonts w:ascii="Arial" w:hAnsi="Arial" w:cs="Arial"/>
          <w:sz w:val="22"/>
          <w:szCs w:val="22"/>
        </w:rPr>
        <w:t xml:space="preserve"> 95% CI for the case-control study of UNC25 exposure and cancer and report in table 2, required format as follows</w:t>
      </w:r>
      <w:r w:rsidRPr="00E02365">
        <w:rPr>
          <w:rFonts w:ascii="Arial" w:hAnsi="Arial" w:cs="Arial"/>
          <w:i/>
          <w:sz w:val="22"/>
          <w:szCs w:val="22"/>
        </w:rPr>
        <w:t>. [15 total points as indicated in table.]</w:t>
      </w:r>
      <w:r w:rsidRPr="00E02365">
        <w:rPr>
          <w:rFonts w:ascii="Arial" w:hAnsi="Arial" w:cs="Arial"/>
          <w:sz w:val="22"/>
          <w:szCs w:val="22"/>
        </w:rPr>
        <w:t xml:space="preserve">   </w:t>
      </w:r>
    </w:p>
    <w:p w14:paraId="7385A0FC" w14:textId="77777777" w:rsidR="001B3854" w:rsidRPr="00E02365" w:rsidRDefault="001B3854" w:rsidP="001B3854">
      <w:pPr>
        <w:ind w:left="108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712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448"/>
        <w:gridCol w:w="1530"/>
        <w:gridCol w:w="1530"/>
        <w:gridCol w:w="1620"/>
      </w:tblGrid>
      <w:tr w:rsidR="001B3854" w:rsidRPr="00E02365" w14:paraId="411B488C" w14:textId="77777777" w:rsidTr="00DB7C54">
        <w:trPr>
          <w:trHeight w:val="240"/>
        </w:trPr>
        <w:tc>
          <w:tcPr>
            <w:tcW w:w="7128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687DE732" w14:textId="14FE828E" w:rsidR="001B3854" w:rsidRPr="00E02365" w:rsidRDefault="00B66FFB" w:rsidP="00DB7C5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Odds Ratio and Confidence Interval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from </w:t>
            </w:r>
            <w:r w:rsidR="00DF615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Nested Case Control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Study of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UNC25 Exposure and Cancer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of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100 Individuals from UNC Family Practice Clinics Between </w:t>
            </w:r>
            <w:r w:rsidRPr="00B66FF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January 1, 2000, and December 31, 2009.</w:t>
            </w:r>
            <w:r w:rsidR="00DF615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1B3854" w:rsidRPr="00E02365" w14:paraId="22A9AAF9" w14:textId="77777777" w:rsidTr="00DB7C54">
        <w:trPr>
          <w:trHeight w:val="240"/>
        </w:trPr>
        <w:tc>
          <w:tcPr>
            <w:tcW w:w="2448" w:type="dxa"/>
            <w:noWrap/>
          </w:tcPr>
          <w:p w14:paraId="4EBB0577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Measure</w:t>
            </w:r>
          </w:p>
        </w:tc>
        <w:tc>
          <w:tcPr>
            <w:tcW w:w="1530" w:type="dxa"/>
            <w:noWrap/>
          </w:tcPr>
          <w:p w14:paraId="77CD8191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Estimate</w:t>
            </w:r>
          </w:p>
        </w:tc>
        <w:tc>
          <w:tcPr>
            <w:tcW w:w="3150" w:type="dxa"/>
            <w:gridSpan w:val="2"/>
            <w:noWrap/>
          </w:tcPr>
          <w:p w14:paraId="21F081A0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95% Confidence Interval</w:t>
            </w:r>
          </w:p>
        </w:tc>
      </w:tr>
      <w:tr w:rsidR="001B3854" w:rsidRPr="00E02365" w14:paraId="7157453B" w14:textId="77777777" w:rsidTr="00DB7C54">
        <w:trPr>
          <w:trHeight w:val="61"/>
        </w:trPr>
        <w:tc>
          <w:tcPr>
            <w:tcW w:w="2448" w:type="dxa"/>
            <w:noWrap/>
          </w:tcPr>
          <w:p w14:paraId="6210CFBF" w14:textId="77777777" w:rsidR="001B3854" w:rsidRPr="00E02365" w:rsidRDefault="001B3854" w:rsidP="00DB7C5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0236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OR from nested case control study</w:t>
            </w:r>
          </w:p>
        </w:tc>
        <w:tc>
          <w:tcPr>
            <w:tcW w:w="1530" w:type="dxa"/>
            <w:noWrap/>
          </w:tcPr>
          <w:p w14:paraId="39FEC28E" w14:textId="2CE1876C" w:rsidR="001B3854" w:rsidRPr="00E02365" w:rsidRDefault="000B56BE" w:rsidP="00DB7C54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4.224</w:t>
            </w:r>
          </w:p>
        </w:tc>
        <w:tc>
          <w:tcPr>
            <w:tcW w:w="1530" w:type="dxa"/>
            <w:noWrap/>
          </w:tcPr>
          <w:p w14:paraId="7D7A9833" w14:textId="4BED3AAA" w:rsidR="001B3854" w:rsidRPr="00E02365" w:rsidRDefault="004876A7" w:rsidP="00DB7C54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876A7">
              <w:rPr>
                <w:rFonts w:ascii="Arial" w:hAnsi="Arial" w:cs="Arial"/>
                <w:color w:val="000000" w:themeColor="text1"/>
                <w:sz w:val="22"/>
                <w:szCs w:val="22"/>
              </w:rPr>
              <w:t>1.752</w:t>
            </w:r>
          </w:p>
        </w:tc>
        <w:tc>
          <w:tcPr>
            <w:tcW w:w="1620" w:type="dxa"/>
            <w:noWrap/>
          </w:tcPr>
          <w:p w14:paraId="632DDBD4" w14:textId="21AC17F1" w:rsidR="001B3854" w:rsidRPr="00E02365" w:rsidRDefault="004876A7" w:rsidP="004876A7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876A7">
              <w:rPr>
                <w:rFonts w:ascii="Arial" w:hAnsi="Arial" w:cs="Arial"/>
                <w:color w:val="000000" w:themeColor="text1"/>
                <w:sz w:val="22"/>
                <w:szCs w:val="22"/>
              </w:rPr>
              <w:t>10.18</w:t>
            </w:r>
          </w:p>
        </w:tc>
      </w:tr>
    </w:tbl>
    <w:p w14:paraId="3C07D3E2" w14:textId="77777777" w:rsidR="001B3854" w:rsidRPr="00E02365" w:rsidRDefault="001B3854" w:rsidP="001B3854">
      <w:pPr>
        <w:rPr>
          <w:rFonts w:ascii="Arial" w:hAnsi="Arial" w:cs="Arial"/>
          <w:sz w:val="22"/>
          <w:szCs w:val="22"/>
        </w:rPr>
      </w:pPr>
    </w:p>
    <w:p w14:paraId="735FD42A" w14:textId="1CFCDC3F" w:rsidR="008073C1" w:rsidRPr="00F664E1" w:rsidRDefault="007621B1" w:rsidP="00F664E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bookmarkStart w:id="1" w:name="_Hlk1748491"/>
      <w:r w:rsidRPr="00F664E1">
        <w:rPr>
          <w:rFonts w:ascii="Arial" w:hAnsi="Arial" w:cs="Arial"/>
          <w:b/>
          <w:i/>
          <w:sz w:val="22"/>
          <w:szCs w:val="22"/>
        </w:rPr>
        <w:t xml:space="preserve">Those exposed to the </w:t>
      </w:r>
      <w:r w:rsidRPr="00F664E1">
        <w:rPr>
          <w:rFonts w:ascii="Arial" w:hAnsi="Arial" w:cs="Arial"/>
          <w:b/>
          <w:i/>
          <w:sz w:val="22"/>
          <w:szCs w:val="22"/>
        </w:rPr>
        <w:t>virus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 had </w:t>
      </w:r>
      <w:r w:rsidRPr="00F664E1">
        <w:rPr>
          <w:rFonts w:ascii="Arial" w:hAnsi="Arial" w:cs="Arial"/>
          <w:b/>
          <w:i/>
          <w:sz w:val="22"/>
          <w:szCs w:val="22"/>
        </w:rPr>
        <w:t>4.224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 times the odds of </w:t>
      </w:r>
      <w:r w:rsidRPr="00F664E1">
        <w:rPr>
          <w:rFonts w:ascii="Arial" w:hAnsi="Arial" w:cs="Arial"/>
          <w:b/>
          <w:i/>
          <w:sz w:val="22"/>
          <w:szCs w:val="22"/>
        </w:rPr>
        <w:t>cancer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 diagnosis</w:t>
      </w:r>
      <w:r w:rsidR="00863AC1" w:rsidRPr="00F664E1">
        <w:rPr>
          <w:rFonts w:ascii="Arial" w:hAnsi="Arial" w:cs="Arial"/>
          <w:b/>
          <w:i/>
          <w:sz w:val="22"/>
          <w:szCs w:val="22"/>
        </w:rPr>
        <w:t xml:space="preserve"> </w:t>
      </w:r>
      <w:r w:rsidRPr="00F664E1">
        <w:rPr>
          <w:rFonts w:ascii="Arial" w:hAnsi="Arial" w:cs="Arial"/>
          <w:b/>
          <w:i/>
          <w:sz w:val="22"/>
          <w:szCs w:val="22"/>
        </w:rPr>
        <w:t>compared to those who were un</w:t>
      </w:r>
      <w:r w:rsidRPr="00F664E1">
        <w:rPr>
          <w:rFonts w:ascii="Arial" w:hAnsi="Arial" w:cs="Arial"/>
          <w:b/>
          <w:i/>
          <w:sz w:val="22"/>
          <w:szCs w:val="22"/>
        </w:rPr>
        <w:t>exposed</w:t>
      </w:r>
      <w:r w:rsidRPr="00F664E1">
        <w:rPr>
          <w:rFonts w:ascii="Arial" w:hAnsi="Arial" w:cs="Arial"/>
          <w:b/>
          <w:i/>
          <w:sz w:val="22"/>
          <w:szCs w:val="22"/>
        </w:rPr>
        <w:t>.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 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We are 95% confident that the </w:t>
      </w:r>
      <w:r w:rsidRPr="00F664E1">
        <w:rPr>
          <w:rFonts w:ascii="Arial" w:hAnsi="Arial" w:cs="Arial"/>
          <w:b/>
          <w:i/>
          <w:sz w:val="22"/>
          <w:szCs w:val="22"/>
        </w:rPr>
        <w:t>odds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 ratio of cancer in those exposed to the virus compared those unexposed is between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 1.752 and 10.18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. Since the 95% CI </w:t>
      </w:r>
      <w:r w:rsidRPr="00F664E1">
        <w:rPr>
          <w:rFonts w:ascii="Arial" w:hAnsi="Arial" w:cs="Arial"/>
          <w:b/>
          <w:i/>
          <w:sz w:val="22"/>
          <w:szCs w:val="22"/>
        </w:rPr>
        <w:t xml:space="preserve">does not </w:t>
      </w:r>
      <w:r w:rsidRPr="00F664E1">
        <w:rPr>
          <w:rFonts w:ascii="Arial" w:hAnsi="Arial" w:cs="Arial"/>
          <w:b/>
          <w:i/>
          <w:sz w:val="22"/>
          <w:szCs w:val="22"/>
        </w:rPr>
        <w:t>include the null value (1) the finding is statistically significant.</w:t>
      </w:r>
      <w:r w:rsidR="008073C1" w:rsidRPr="00F664E1">
        <w:rPr>
          <w:rFonts w:ascii="Arial" w:hAnsi="Arial" w:cs="Arial"/>
          <w:b/>
          <w:i/>
          <w:sz w:val="22"/>
          <w:szCs w:val="22"/>
        </w:rPr>
        <w:t xml:space="preserve"> </w:t>
      </w:r>
      <w:bookmarkEnd w:id="1"/>
      <w:r w:rsidR="008073C1" w:rsidRPr="00F664E1">
        <w:rPr>
          <w:rFonts w:ascii="Arial" w:hAnsi="Arial" w:cs="Arial"/>
          <w:b/>
          <w:i/>
          <w:sz w:val="22"/>
          <w:szCs w:val="22"/>
        </w:rPr>
        <w:t xml:space="preserve">We </w:t>
      </w:r>
      <w:r w:rsidR="00A31162" w:rsidRPr="00F664E1">
        <w:rPr>
          <w:rFonts w:ascii="Arial" w:hAnsi="Arial" w:cs="Arial"/>
          <w:b/>
          <w:i/>
          <w:sz w:val="22"/>
          <w:szCs w:val="22"/>
        </w:rPr>
        <w:t xml:space="preserve">cannot </w:t>
      </w:r>
      <w:r w:rsidR="008073C1" w:rsidRPr="00F664E1">
        <w:rPr>
          <w:rFonts w:ascii="Arial" w:hAnsi="Arial" w:cs="Arial"/>
          <w:b/>
          <w:i/>
          <w:sz w:val="22"/>
          <w:szCs w:val="22"/>
        </w:rPr>
        <w:t xml:space="preserve">not measure and compare incidence </w:t>
      </w:r>
      <w:r w:rsidR="00A31162" w:rsidRPr="00F664E1">
        <w:rPr>
          <w:rFonts w:ascii="Arial" w:hAnsi="Arial" w:cs="Arial"/>
          <w:b/>
          <w:i/>
          <w:sz w:val="22"/>
          <w:szCs w:val="22"/>
        </w:rPr>
        <w:t>in a case control study since there is no follow up period. This means we</w:t>
      </w:r>
      <w:r w:rsidR="008073C1" w:rsidRPr="00F664E1">
        <w:rPr>
          <w:rFonts w:ascii="Arial" w:hAnsi="Arial" w:cs="Arial"/>
          <w:b/>
          <w:i/>
          <w:sz w:val="22"/>
          <w:szCs w:val="22"/>
        </w:rPr>
        <w:t xml:space="preserve"> cannot directly calculate </w:t>
      </w:r>
      <w:r w:rsidR="00A31162" w:rsidRPr="00F664E1">
        <w:rPr>
          <w:rFonts w:ascii="Arial" w:hAnsi="Arial" w:cs="Arial"/>
          <w:b/>
          <w:i/>
          <w:sz w:val="22"/>
          <w:szCs w:val="22"/>
        </w:rPr>
        <w:t>a risk ratio</w:t>
      </w:r>
      <w:r w:rsidR="00CC7867" w:rsidRPr="00F664E1">
        <w:rPr>
          <w:rFonts w:ascii="Arial" w:hAnsi="Arial" w:cs="Arial"/>
          <w:b/>
          <w:i/>
          <w:sz w:val="22"/>
          <w:szCs w:val="22"/>
        </w:rPr>
        <w:t xml:space="preserve"> from the case-control data</w:t>
      </w:r>
      <w:r w:rsidR="00A31162" w:rsidRPr="00F664E1">
        <w:rPr>
          <w:rFonts w:ascii="Arial" w:hAnsi="Arial" w:cs="Arial"/>
          <w:b/>
          <w:i/>
          <w:sz w:val="22"/>
          <w:szCs w:val="22"/>
        </w:rPr>
        <w:t>.</w:t>
      </w:r>
    </w:p>
    <w:p w14:paraId="7F5493CD" w14:textId="77777777" w:rsidR="007621B1" w:rsidRPr="00E02365" w:rsidRDefault="007621B1" w:rsidP="001B3854">
      <w:pPr>
        <w:rPr>
          <w:rFonts w:ascii="Arial" w:hAnsi="Arial" w:cs="Arial"/>
          <w:color w:val="FF0000"/>
          <w:sz w:val="22"/>
          <w:szCs w:val="22"/>
        </w:rPr>
      </w:pPr>
    </w:p>
    <w:p w14:paraId="5D672A66" w14:textId="77777777" w:rsidR="001B3854" w:rsidRPr="00E02365" w:rsidRDefault="001B3854" w:rsidP="001B3854">
      <w:pPr>
        <w:pStyle w:val="ListParagraph"/>
        <w:rPr>
          <w:rFonts w:ascii="Arial" w:hAnsi="Arial" w:cs="Arial"/>
          <w:sz w:val="22"/>
          <w:szCs w:val="22"/>
        </w:rPr>
      </w:pPr>
    </w:p>
    <w:p w14:paraId="19A4CB32" w14:textId="71A9AD60" w:rsidR="001B3854" w:rsidRPr="008A0AFB" w:rsidRDefault="00BE1E7E" w:rsidP="008A0AF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8A0AFB">
        <w:rPr>
          <w:rFonts w:ascii="Arial" w:hAnsi="Arial" w:cs="Arial"/>
          <w:b/>
          <w:i/>
          <w:sz w:val="22"/>
          <w:szCs w:val="22"/>
        </w:rPr>
        <w:t>The risk ratio was 3.934 and the odds ratio was 4.224</w:t>
      </w:r>
      <w:r w:rsidRPr="008A0AFB">
        <w:rPr>
          <w:rFonts w:ascii="Arial" w:hAnsi="Arial" w:cs="Arial"/>
          <w:b/>
          <w:i/>
          <w:sz w:val="22"/>
          <w:szCs w:val="22"/>
        </w:rPr>
        <w:t xml:space="preserve">. </w:t>
      </w:r>
      <w:proofErr w:type="gramStart"/>
      <w:r w:rsidRPr="008A0AFB">
        <w:rPr>
          <w:rFonts w:ascii="Arial" w:hAnsi="Arial" w:cs="Arial"/>
          <w:b/>
          <w:i/>
          <w:sz w:val="22"/>
          <w:szCs w:val="22"/>
        </w:rPr>
        <w:t>W</w:t>
      </w:r>
      <w:r w:rsidR="00D91D62" w:rsidRPr="008A0AFB">
        <w:rPr>
          <w:rFonts w:ascii="Arial" w:hAnsi="Arial" w:cs="Arial"/>
          <w:b/>
          <w:i/>
          <w:sz w:val="22"/>
          <w:szCs w:val="22"/>
        </w:rPr>
        <w:t>hen</w:t>
      </w:r>
      <w:proofErr w:type="gramEnd"/>
      <w:r w:rsidR="00D91D62" w:rsidRPr="008A0AFB">
        <w:rPr>
          <w:rFonts w:ascii="Arial" w:hAnsi="Arial" w:cs="Arial"/>
          <w:b/>
          <w:i/>
          <w:sz w:val="22"/>
          <w:szCs w:val="22"/>
        </w:rPr>
        <w:t xml:space="preserve"> the odds ratio is interpreted as a relative risk it will always overstate any effect size</w:t>
      </w:r>
      <w:r w:rsidR="00D91D62" w:rsidRPr="008A0AFB">
        <w:rPr>
          <w:rFonts w:ascii="Arial" w:hAnsi="Arial" w:cs="Arial"/>
          <w:b/>
          <w:i/>
          <w:sz w:val="22"/>
          <w:szCs w:val="22"/>
        </w:rPr>
        <w:t xml:space="preserve">. Since the </w:t>
      </w:r>
      <w:r w:rsidR="00D91D62" w:rsidRPr="008A0AFB">
        <w:rPr>
          <w:rFonts w:ascii="Arial" w:hAnsi="Arial" w:cs="Arial"/>
          <w:b/>
          <w:i/>
          <w:sz w:val="22"/>
          <w:szCs w:val="22"/>
        </w:rPr>
        <w:t xml:space="preserve">odds ratios </w:t>
      </w:r>
      <w:r w:rsidR="00D91D62" w:rsidRPr="008A0AFB">
        <w:rPr>
          <w:rFonts w:ascii="Arial" w:hAnsi="Arial" w:cs="Arial"/>
          <w:b/>
          <w:i/>
          <w:sz w:val="22"/>
          <w:szCs w:val="22"/>
        </w:rPr>
        <w:t>is</w:t>
      </w:r>
      <w:r w:rsidR="00D91D62" w:rsidRPr="008A0AFB">
        <w:rPr>
          <w:rFonts w:ascii="Arial" w:hAnsi="Arial" w:cs="Arial"/>
          <w:b/>
          <w:i/>
          <w:sz w:val="22"/>
          <w:szCs w:val="22"/>
        </w:rPr>
        <w:t xml:space="preserve"> greater than one</w:t>
      </w:r>
      <w:r w:rsidR="00D91D62" w:rsidRPr="008A0AFB">
        <w:rPr>
          <w:rFonts w:ascii="Arial" w:hAnsi="Arial" w:cs="Arial"/>
          <w:b/>
          <w:i/>
          <w:sz w:val="22"/>
          <w:szCs w:val="22"/>
        </w:rPr>
        <w:t xml:space="preserve"> </w:t>
      </w:r>
      <w:r w:rsidRPr="008A0AFB">
        <w:rPr>
          <w:rFonts w:ascii="Arial" w:hAnsi="Arial" w:cs="Arial"/>
          <w:b/>
          <w:i/>
          <w:sz w:val="22"/>
          <w:szCs w:val="22"/>
        </w:rPr>
        <w:t xml:space="preserve">it is expected that it will be larger than the risk ratio. It is also expected to have a larger CI. The risk ratio has a </w:t>
      </w:r>
      <w:r w:rsidRPr="008A0AFB">
        <w:rPr>
          <w:rFonts w:ascii="Arial" w:hAnsi="Arial" w:cs="Arial"/>
          <w:b/>
          <w:i/>
          <w:sz w:val="22"/>
          <w:szCs w:val="22"/>
        </w:rPr>
        <w:t>95% CI of (2.371, 6.527)</w:t>
      </w:r>
      <w:r w:rsidRPr="008A0AFB">
        <w:rPr>
          <w:rFonts w:ascii="Arial" w:hAnsi="Arial" w:cs="Arial"/>
          <w:b/>
          <w:i/>
          <w:sz w:val="22"/>
          <w:szCs w:val="22"/>
        </w:rPr>
        <w:t xml:space="preserve"> and the odds ratio has a </w:t>
      </w:r>
      <w:r w:rsidRPr="008A0AFB">
        <w:rPr>
          <w:rFonts w:ascii="Arial" w:hAnsi="Arial" w:cs="Arial"/>
          <w:b/>
          <w:i/>
          <w:sz w:val="22"/>
          <w:szCs w:val="22"/>
        </w:rPr>
        <w:t>95% CI of (1.752, 10.18)</w:t>
      </w:r>
      <w:r w:rsidRPr="008A0AFB">
        <w:rPr>
          <w:rFonts w:ascii="Arial" w:hAnsi="Arial" w:cs="Arial"/>
          <w:b/>
          <w:i/>
          <w:sz w:val="22"/>
          <w:szCs w:val="22"/>
        </w:rPr>
        <w:t>.</w:t>
      </w:r>
    </w:p>
    <w:p w14:paraId="0B27354A" w14:textId="77777777" w:rsidR="007E5A2B" w:rsidRPr="00E02365" w:rsidRDefault="007E5A2B" w:rsidP="001B3854">
      <w:pPr>
        <w:rPr>
          <w:rFonts w:ascii="Arial" w:hAnsi="Arial" w:cs="Arial"/>
          <w:sz w:val="22"/>
          <w:szCs w:val="22"/>
        </w:rPr>
      </w:pPr>
    </w:p>
    <w:p w14:paraId="4E0D82F9" w14:textId="668BEB47" w:rsidR="00820C35" w:rsidRPr="00E56533" w:rsidRDefault="00BE5328" w:rsidP="00EB3BB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56533">
        <w:rPr>
          <w:rFonts w:ascii="Arial" w:hAnsi="Arial" w:cs="Arial"/>
          <w:b/>
          <w:i/>
          <w:sz w:val="22"/>
          <w:szCs w:val="22"/>
        </w:rPr>
        <w:t>Assuming the nested case</w:t>
      </w:r>
      <w:r w:rsidR="00AE42F6" w:rsidRPr="00E56533">
        <w:rPr>
          <w:rFonts w:ascii="Arial" w:hAnsi="Arial" w:cs="Arial"/>
          <w:b/>
          <w:i/>
          <w:sz w:val="22"/>
          <w:szCs w:val="22"/>
        </w:rPr>
        <w:t>-</w:t>
      </w:r>
      <w:r w:rsidRPr="00E56533">
        <w:rPr>
          <w:rFonts w:ascii="Arial" w:hAnsi="Arial" w:cs="Arial"/>
          <w:b/>
          <w:i/>
          <w:sz w:val="22"/>
          <w:szCs w:val="22"/>
        </w:rPr>
        <w:t>control study was sampled accurately, w</w:t>
      </w:r>
      <w:r w:rsidR="00204F5A" w:rsidRPr="00E56533">
        <w:rPr>
          <w:rFonts w:ascii="Arial" w:hAnsi="Arial" w:cs="Arial"/>
          <w:b/>
          <w:i/>
          <w:sz w:val="22"/>
          <w:szCs w:val="22"/>
        </w:rPr>
        <w:t>hen the</w:t>
      </w:r>
      <w:r w:rsidR="002A3001" w:rsidRPr="00E56533">
        <w:rPr>
          <w:rFonts w:ascii="Arial" w:hAnsi="Arial" w:cs="Arial"/>
          <w:b/>
          <w:i/>
          <w:sz w:val="22"/>
          <w:szCs w:val="22"/>
        </w:rPr>
        <w:t xml:space="preserve"> disease is</w:t>
      </w:r>
      <w:r w:rsidR="002A3001" w:rsidRPr="00E56533">
        <w:rPr>
          <w:rFonts w:ascii="Arial" w:hAnsi="Arial" w:cs="Arial"/>
          <w:b/>
          <w:i/>
          <w:sz w:val="22"/>
          <w:szCs w:val="22"/>
        </w:rPr>
        <w:t xml:space="preserve"> uncommon</w:t>
      </w:r>
      <w:r w:rsidR="00204F5A" w:rsidRPr="00E56533">
        <w:rPr>
          <w:rFonts w:ascii="Arial" w:hAnsi="Arial" w:cs="Arial"/>
          <w:b/>
          <w:i/>
          <w:sz w:val="22"/>
          <w:szCs w:val="22"/>
        </w:rPr>
        <w:t xml:space="preserve"> (</w:t>
      </w:r>
      <w:r w:rsidR="00C5245E" w:rsidRPr="00E56533">
        <w:rPr>
          <w:rFonts w:ascii="Arial" w:hAnsi="Arial" w:cs="Arial"/>
          <w:b/>
          <w:i/>
          <w:sz w:val="22"/>
          <w:szCs w:val="22"/>
        </w:rPr>
        <w:t>less than</w:t>
      </w:r>
      <w:r w:rsidR="00204F5A" w:rsidRPr="00E56533">
        <w:rPr>
          <w:rFonts w:ascii="Arial" w:hAnsi="Arial" w:cs="Arial"/>
          <w:b/>
          <w:i/>
          <w:sz w:val="22"/>
          <w:szCs w:val="22"/>
        </w:rPr>
        <w:t xml:space="preserve"> 10% </w:t>
      </w:r>
      <w:r w:rsidR="00C5245E" w:rsidRPr="00E56533">
        <w:rPr>
          <w:rFonts w:ascii="Arial" w:hAnsi="Arial" w:cs="Arial"/>
          <w:b/>
          <w:i/>
          <w:sz w:val="22"/>
          <w:szCs w:val="22"/>
        </w:rPr>
        <w:t>prevalence</w:t>
      </w:r>
      <w:r w:rsidR="00204F5A" w:rsidRPr="00E56533">
        <w:rPr>
          <w:rFonts w:ascii="Arial" w:hAnsi="Arial" w:cs="Arial"/>
          <w:b/>
          <w:i/>
          <w:sz w:val="22"/>
          <w:szCs w:val="22"/>
        </w:rPr>
        <w:t>)</w:t>
      </w:r>
      <w:r w:rsidR="002A3001" w:rsidRPr="00E56533">
        <w:rPr>
          <w:rFonts w:ascii="Arial" w:hAnsi="Arial" w:cs="Arial"/>
          <w:b/>
          <w:i/>
          <w:sz w:val="22"/>
          <w:szCs w:val="22"/>
        </w:rPr>
        <w:t xml:space="preserve"> </w:t>
      </w:r>
      <w:r w:rsidR="002A3001" w:rsidRPr="00E56533">
        <w:rPr>
          <w:rFonts w:ascii="Arial" w:hAnsi="Arial" w:cs="Arial"/>
          <w:b/>
          <w:i/>
          <w:sz w:val="22"/>
          <w:szCs w:val="22"/>
        </w:rPr>
        <w:t>the</w:t>
      </w:r>
      <w:r w:rsidR="002A3001" w:rsidRPr="00E56533">
        <w:rPr>
          <w:rFonts w:ascii="Arial" w:hAnsi="Arial" w:cs="Arial"/>
          <w:b/>
          <w:i/>
          <w:sz w:val="22"/>
          <w:szCs w:val="22"/>
        </w:rPr>
        <w:t xml:space="preserve"> odds ratio is a good estimate of the risk ratio.</w:t>
      </w:r>
      <w:r w:rsidR="003D0A11" w:rsidRPr="00E56533">
        <w:rPr>
          <w:rFonts w:ascii="Arial" w:hAnsi="Arial" w:cs="Arial"/>
          <w:b/>
          <w:i/>
          <w:sz w:val="22"/>
          <w:szCs w:val="22"/>
        </w:rPr>
        <w:t xml:space="preserve"> In the data from the cohort study,</w:t>
      </w:r>
      <w:r w:rsidR="00C5245E" w:rsidRPr="00E56533">
        <w:rPr>
          <w:rFonts w:ascii="Arial" w:hAnsi="Arial" w:cs="Arial"/>
          <w:b/>
          <w:i/>
          <w:sz w:val="22"/>
          <w:szCs w:val="22"/>
        </w:rPr>
        <w:t xml:space="preserve"> the prevalence of</w:t>
      </w:r>
      <w:r w:rsidR="003D0A11" w:rsidRPr="00E56533">
        <w:rPr>
          <w:rFonts w:ascii="Arial" w:hAnsi="Arial" w:cs="Arial"/>
          <w:b/>
          <w:i/>
          <w:sz w:val="22"/>
          <w:szCs w:val="22"/>
        </w:rPr>
        <w:t xml:space="preserve"> cancer </w:t>
      </w:r>
      <w:r w:rsidR="00C5245E" w:rsidRPr="00E56533">
        <w:rPr>
          <w:rFonts w:ascii="Arial" w:hAnsi="Arial" w:cs="Arial"/>
          <w:b/>
          <w:i/>
          <w:sz w:val="22"/>
          <w:szCs w:val="22"/>
        </w:rPr>
        <w:t xml:space="preserve">was </w:t>
      </w:r>
      <w:r w:rsidR="00C5245E" w:rsidRPr="00E56533">
        <w:rPr>
          <w:rFonts w:ascii="Arial" w:hAnsi="Arial" w:cs="Arial"/>
          <w:b/>
          <w:i/>
          <w:sz w:val="22"/>
          <w:szCs w:val="22"/>
        </w:rPr>
        <w:t>5</w:t>
      </w:r>
      <w:r w:rsidR="00C5245E" w:rsidRPr="00E56533">
        <w:rPr>
          <w:rFonts w:ascii="Arial" w:hAnsi="Arial" w:cs="Arial"/>
          <w:b/>
          <w:i/>
          <w:sz w:val="22"/>
          <w:szCs w:val="22"/>
        </w:rPr>
        <w:t>.</w:t>
      </w:r>
      <w:r w:rsidR="00C5245E" w:rsidRPr="00E56533">
        <w:rPr>
          <w:rFonts w:ascii="Arial" w:hAnsi="Arial" w:cs="Arial"/>
          <w:b/>
          <w:i/>
          <w:sz w:val="22"/>
          <w:szCs w:val="22"/>
        </w:rPr>
        <w:t>7</w:t>
      </w:r>
      <w:r w:rsidR="00C5245E" w:rsidRPr="00E56533">
        <w:rPr>
          <w:rFonts w:ascii="Arial" w:hAnsi="Arial" w:cs="Arial"/>
          <w:b/>
          <w:i/>
          <w:sz w:val="22"/>
          <w:szCs w:val="22"/>
        </w:rPr>
        <w:t>%</w:t>
      </w:r>
      <w:r w:rsidR="004433B4" w:rsidRPr="00E56533">
        <w:rPr>
          <w:rFonts w:ascii="Arial" w:hAnsi="Arial" w:cs="Arial"/>
          <w:b/>
          <w:i/>
          <w:sz w:val="22"/>
          <w:szCs w:val="22"/>
        </w:rPr>
        <w:t>, thus the condition was met.</w:t>
      </w:r>
      <w:r w:rsidR="007E5A2B" w:rsidRPr="00E56533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29CA9326" w14:textId="77777777" w:rsidR="002A3001" w:rsidRPr="00E02365" w:rsidRDefault="002A3001" w:rsidP="001B3854">
      <w:pPr>
        <w:rPr>
          <w:rFonts w:ascii="Arial" w:hAnsi="Arial" w:cs="Arial"/>
          <w:sz w:val="22"/>
          <w:szCs w:val="22"/>
        </w:rPr>
      </w:pPr>
    </w:p>
    <w:p w14:paraId="3A4A971D" w14:textId="2E90803E" w:rsidR="009C38F0" w:rsidRPr="00E56533" w:rsidRDefault="007B6279" w:rsidP="00E5653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56533">
        <w:rPr>
          <w:rFonts w:ascii="Arial" w:hAnsi="Arial" w:cs="Arial"/>
          <w:b/>
          <w:i/>
          <w:sz w:val="22"/>
          <w:szCs w:val="22"/>
        </w:rPr>
        <w:t>A case control study allows you to study multiple exposures and these studies tend to be cheaper and require less time than a cohort study.</w:t>
      </w:r>
    </w:p>
    <w:p w14:paraId="1CD519EF" w14:textId="77777777" w:rsidR="009C38F0" w:rsidRPr="009C38F0" w:rsidRDefault="009C38F0" w:rsidP="009C38F0">
      <w:pPr>
        <w:rPr>
          <w:rFonts w:ascii="Arial" w:hAnsi="Arial" w:cs="Arial"/>
          <w:sz w:val="22"/>
          <w:szCs w:val="22"/>
        </w:rPr>
      </w:pPr>
    </w:p>
    <w:p w14:paraId="1DE1A57F" w14:textId="569D91B3" w:rsidR="001049A0" w:rsidRPr="00E56533" w:rsidRDefault="00EB3BBB" w:rsidP="001049A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56533">
        <w:rPr>
          <w:rFonts w:ascii="Arial" w:hAnsi="Arial" w:cs="Arial"/>
          <w:b/>
          <w:i/>
          <w:sz w:val="22"/>
          <w:szCs w:val="22"/>
        </w:rPr>
        <w:t xml:space="preserve">G: </w:t>
      </w:r>
      <w:proofErr w:type="gramStart"/>
      <w:r w:rsidR="00885DBB" w:rsidRPr="00E56533">
        <w:rPr>
          <w:rFonts w:ascii="Arial" w:hAnsi="Arial" w:cs="Arial"/>
          <w:b/>
          <w:i/>
          <w:sz w:val="22"/>
          <w:szCs w:val="22"/>
        </w:rPr>
        <w:t>Ecologic  (</w:t>
      </w:r>
      <w:proofErr w:type="gramEnd"/>
      <w:r w:rsidR="00885DBB" w:rsidRPr="00E56533">
        <w:rPr>
          <w:rFonts w:ascii="Arial" w:hAnsi="Arial" w:cs="Arial"/>
          <w:b/>
          <w:i/>
          <w:sz w:val="22"/>
          <w:szCs w:val="22"/>
        </w:rPr>
        <w:t>Repeated)</w:t>
      </w:r>
    </w:p>
    <w:p w14:paraId="783F7DDF" w14:textId="3AF88D39" w:rsidR="009C38F0" w:rsidRDefault="009C38F0" w:rsidP="009C38F0">
      <w:pPr>
        <w:rPr>
          <w:rFonts w:ascii="Arial" w:hAnsi="Arial" w:cs="Arial"/>
          <w:sz w:val="22"/>
          <w:szCs w:val="22"/>
        </w:rPr>
      </w:pPr>
    </w:p>
    <w:p w14:paraId="6C4EA1BD" w14:textId="77777777" w:rsidR="00EB3BBB" w:rsidRPr="009C38F0" w:rsidRDefault="00EB3BBB" w:rsidP="009C38F0">
      <w:pPr>
        <w:rPr>
          <w:rFonts w:ascii="Arial" w:hAnsi="Arial" w:cs="Arial"/>
          <w:sz w:val="22"/>
          <w:szCs w:val="22"/>
        </w:rPr>
      </w:pPr>
    </w:p>
    <w:p w14:paraId="7FA7E8BE" w14:textId="4409428F" w:rsidR="0009683A" w:rsidRPr="00E56533" w:rsidRDefault="00EB3BBB" w:rsidP="00E5653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56533">
        <w:rPr>
          <w:rFonts w:ascii="Arial" w:hAnsi="Arial" w:cs="Arial"/>
          <w:b/>
          <w:i/>
          <w:sz w:val="22"/>
          <w:szCs w:val="22"/>
        </w:rPr>
        <w:t xml:space="preserve">B: </w:t>
      </w:r>
      <w:r w:rsidR="0009683A" w:rsidRPr="00E56533">
        <w:rPr>
          <w:rFonts w:ascii="Arial" w:hAnsi="Arial" w:cs="Arial"/>
          <w:b/>
          <w:i/>
          <w:sz w:val="22"/>
          <w:szCs w:val="22"/>
        </w:rPr>
        <w:t>Cross-sectional</w:t>
      </w:r>
    </w:p>
    <w:p w14:paraId="366AB73C" w14:textId="77777777" w:rsidR="00E56533" w:rsidRPr="00EB3BBB" w:rsidRDefault="00E56533" w:rsidP="00EB3BB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8D8B79E" w14:textId="61304D2A" w:rsidR="00766768" w:rsidRPr="00E56533" w:rsidRDefault="00EB3BBB" w:rsidP="00E5653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E56533">
        <w:rPr>
          <w:rFonts w:ascii="Arial" w:hAnsi="Arial" w:cs="Arial"/>
          <w:b/>
          <w:i/>
          <w:sz w:val="22"/>
          <w:szCs w:val="22"/>
        </w:rPr>
        <w:t xml:space="preserve">G: </w:t>
      </w:r>
      <w:proofErr w:type="gramStart"/>
      <w:r w:rsidR="00743B82" w:rsidRPr="00E56533">
        <w:rPr>
          <w:rFonts w:ascii="Arial" w:hAnsi="Arial" w:cs="Arial"/>
          <w:b/>
          <w:i/>
          <w:sz w:val="22"/>
          <w:szCs w:val="22"/>
        </w:rPr>
        <w:t>Ecologic  (</w:t>
      </w:r>
      <w:proofErr w:type="gramEnd"/>
      <w:r w:rsidR="00743B82" w:rsidRPr="00E56533">
        <w:rPr>
          <w:rFonts w:ascii="Arial" w:hAnsi="Arial" w:cs="Arial"/>
          <w:b/>
          <w:i/>
          <w:sz w:val="22"/>
          <w:szCs w:val="22"/>
        </w:rPr>
        <w:t>Repeated)</w:t>
      </w:r>
    </w:p>
    <w:p w14:paraId="2352BE14" w14:textId="77777777" w:rsidR="009C38F0" w:rsidRPr="00E56533" w:rsidRDefault="009C38F0" w:rsidP="00E56533">
      <w:pPr>
        <w:rPr>
          <w:rFonts w:ascii="Arial" w:hAnsi="Arial" w:cs="Arial"/>
          <w:sz w:val="22"/>
          <w:szCs w:val="22"/>
        </w:rPr>
      </w:pPr>
    </w:p>
    <w:p w14:paraId="548B7B19" w14:textId="61BE9C77" w:rsidR="009C38F0" w:rsidRPr="00E56533" w:rsidRDefault="00CB5BC9" w:rsidP="00E5653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bookmarkStart w:id="2" w:name="_Hlk1332789"/>
      <w:r w:rsidRPr="00E56533">
        <w:rPr>
          <w:rFonts w:ascii="Arial" w:hAnsi="Arial" w:cs="Arial"/>
          <w:b/>
          <w:i/>
          <w:sz w:val="22"/>
        </w:rPr>
        <w:t>The unit of study is states, which implies ecologic. This was done over time so it is repeated.</w:t>
      </w:r>
    </w:p>
    <w:p w14:paraId="32F7F64F" w14:textId="77777777" w:rsidR="009C38F0" w:rsidRPr="009C38F0" w:rsidRDefault="009C38F0" w:rsidP="009C38F0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C651298" w14:textId="78EF3615" w:rsidR="009C38F0" w:rsidRDefault="00E02365" w:rsidP="009C38F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9C38F0">
        <w:rPr>
          <w:rFonts w:ascii="Arial" w:hAnsi="Arial" w:cs="Arial"/>
          <w:sz w:val="22"/>
          <w:szCs w:val="22"/>
        </w:rPr>
        <w:t xml:space="preserve">Select the study design used by </w:t>
      </w:r>
      <w:proofErr w:type="spellStart"/>
      <w:r w:rsidRPr="009C38F0">
        <w:rPr>
          <w:rFonts w:ascii="Arial" w:hAnsi="Arial" w:cs="Arial"/>
          <w:sz w:val="22"/>
          <w:szCs w:val="22"/>
        </w:rPr>
        <w:t>Sivakami</w:t>
      </w:r>
      <w:proofErr w:type="spellEnd"/>
      <w:r w:rsidRPr="009C38F0">
        <w:rPr>
          <w:rFonts w:ascii="Arial" w:hAnsi="Arial" w:cs="Arial"/>
          <w:sz w:val="22"/>
          <w:szCs w:val="22"/>
        </w:rPr>
        <w:t xml:space="preserve"> et al 2019.</w:t>
      </w:r>
    </w:p>
    <w:p w14:paraId="0BFAAC02" w14:textId="74B5C9E8" w:rsidR="00885DBB" w:rsidRDefault="00885DBB" w:rsidP="00885DBB">
      <w:pPr>
        <w:rPr>
          <w:rFonts w:ascii="Arial" w:hAnsi="Arial" w:cs="Arial"/>
          <w:sz w:val="22"/>
          <w:szCs w:val="22"/>
        </w:rPr>
      </w:pPr>
    </w:p>
    <w:p w14:paraId="61F9487C" w14:textId="0FA2455C" w:rsidR="00885DBB" w:rsidRPr="00EB3BBB" w:rsidRDefault="00EB3BBB" w:rsidP="00EB3BBB">
      <w:pPr>
        <w:spacing w:after="160" w:line="259" w:lineRule="auto"/>
        <w:ind w:left="108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E: </w:t>
      </w:r>
      <w:r w:rsidR="00885DBB" w:rsidRPr="00EB3BBB">
        <w:rPr>
          <w:rFonts w:ascii="Arial" w:hAnsi="Arial" w:cs="Arial"/>
          <w:b/>
          <w:i/>
          <w:sz w:val="22"/>
          <w:szCs w:val="22"/>
        </w:rPr>
        <w:t>Case Control</w:t>
      </w:r>
    </w:p>
    <w:p w14:paraId="7D0FCB5A" w14:textId="77777777" w:rsidR="00885DBB" w:rsidRPr="00885DBB" w:rsidRDefault="00885DBB" w:rsidP="00885DBB">
      <w:pPr>
        <w:rPr>
          <w:rFonts w:ascii="Arial" w:hAnsi="Arial" w:cs="Arial"/>
          <w:sz w:val="22"/>
          <w:szCs w:val="22"/>
        </w:rPr>
      </w:pPr>
    </w:p>
    <w:p w14:paraId="71985D7D" w14:textId="7D478270" w:rsidR="009C38F0" w:rsidRPr="009C38F0" w:rsidRDefault="009C38F0" w:rsidP="009C38F0">
      <w:pPr>
        <w:rPr>
          <w:rFonts w:ascii="Arial" w:hAnsi="Arial" w:cs="Arial"/>
          <w:sz w:val="22"/>
          <w:szCs w:val="22"/>
        </w:rPr>
      </w:pPr>
    </w:p>
    <w:p w14:paraId="4E7F1870" w14:textId="77777777" w:rsidR="009C38F0" w:rsidRDefault="009C38F0" w:rsidP="009C38F0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8107FA1" w14:textId="4523724B" w:rsidR="007D61D2" w:rsidRDefault="009C38F0" w:rsidP="007D61D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9C38F0">
        <w:rPr>
          <w:rFonts w:ascii="Arial" w:hAnsi="Arial" w:cs="Arial"/>
          <w:sz w:val="22"/>
          <w:szCs w:val="22"/>
        </w:rPr>
        <w:t xml:space="preserve">Provide an interpretation for the prevalence ratio and 95%CI in Table 5, </w:t>
      </w:r>
      <w:proofErr w:type="spellStart"/>
      <w:r w:rsidRPr="009C38F0">
        <w:rPr>
          <w:rFonts w:ascii="Arial" w:hAnsi="Arial" w:cs="Arial"/>
          <w:sz w:val="22"/>
          <w:szCs w:val="22"/>
        </w:rPr>
        <w:t>Sivakami</w:t>
      </w:r>
      <w:proofErr w:type="spellEnd"/>
      <w:r w:rsidRPr="009C38F0">
        <w:rPr>
          <w:rFonts w:ascii="Arial" w:hAnsi="Arial" w:cs="Arial"/>
          <w:sz w:val="22"/>
          <w:szCs w:val="22"/>
        </w:rPr>
        <w:t xml:space="preserve"> et al 2019, for the “No” response of Menstrual Hygiene Education provided in school.</w:t>
      </w:r>
    </w:p>
    <w:p w14:paraId="38CACB5C" w14:textId="0B5ADE58" w:rsidR="007D61D2" w:rsidRDefault="009C38F0" w:rsidP="007D61D2">
      <w:pPr>
        <w:pStyle w:val="ListParagraph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20A39E9" w14:textId="77E3EBCB" w:rsidR="002F484E" w:rsidRPr="00206B62" w:rsidRDefault="00C82AEC" w:rsidP="00206B62">
      <w:pPr>
        <w:pStyle w:val="ListParagraph"/>
        <w:ind w:left="360"/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b/>
          <w:i/>
          <w:color w:val="222222"/>
          <w:shd w:val="clear" w:color="auto" w:fill="FFFFFF"/>
        </w:rPr>
        <w:lastRenderedPageBreak/>
        <w:t xml:space="preserve">A 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>prevalence ratio of 2.41 means that t</w:t>
      </w:r>
      <w:r w:rsidR="007D61D2"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he proportion </w:t>
      </w:r>
      <w:r w:rsidR="007D61D2"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of 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>missing school during menstruation by adolescent girls in the 3 states in India</w:t>
      </w:r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who report not having m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>enstrual hygiene education</w:t>
      </w:r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in school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is 2.41 </w:t>
      </w:r>
      <w:r>
        <w:rPr>
          <w:rFonts w:ascii="Arial" w:hAnsi="Arial" w:cs="Arial"/>
          <w:b/>
          <w:i/>
          <w:color w:val="222222"/>
          <w:shd w:val="clear" w:color="auto" w:fill="FFFFFF"/>
        </w:rPr>
        <w:t>times the proportion of</w:t>
      </w:r>
      <w:r w:rsidR="004C030B">
        <w:rPr>
          <w:rFonts w:ascii="Arial" w:hAnsi="Arial" w:cs="Arial"/>
          <w:b/>
          <w:i/>
          <w:color w:val="222222"/>
          <w:shd w:val="clear" w:color="auto" w:fill="FFFFFF"/>
        </w:rPr>
        <w:t xml:space="preserve"> girls who report having </w:t>
      </w:r>
      <w:r w:rsidR="004C030B" w:rsidRPr="00C82AEC">
        <w:rPr>
          <w:rFonts w:ascii="Arial" w:hAnsi="Arial" w:cs="Arial"/>
          <w:b/>
          <w:i/>
          <w:color w:val="222222"/>
          <w:shd w:val="clear" w:color="auto" w:fill="FFFFFF"/>
        </w:rPr>
        <w:t>menstrual hygiene education</w:t>
      </w:r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r w:rsidR="004C030B">
        <w:rPr>
          <w:rFonts w:ascii="Arial" w:hAnsi="Arial" w:cs="Arial"/>
          <w:b/>
          <w:i/>
          <w:color w:val="222222"/>
          <w:shd w:val="clear" w:color="auto" w:fill="FFFFFF"/>
        </w:rPr>
        <w:t>in school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. The confidence interval of (1.65,3.53) means that over repeated sampling with 95% confidence the true prevalence ratio is between 1.65 and 3.53. Since the null value (1) is not in the interval, the finding is statistically significant. </w:t>
      </w:r>
    </w:p>
    <w:p w14:paraId="4C5A8200" w14:textId="77777777" w:rsidR="002F484E" w:rsidRPr="002F484E" w:rsidRDefault="002F484E" w:rsidP="002F484E">
      <w:pPr>
        <w:rPr>
          <w:rFonts w:ascii="Arial" w:hAnsi="Arial" w:cs="Arial"/>
          <w:sz w:val="22"/>
          <w:szCs w:val="22"/>
        </w:rPr>
      </w:pPr>
    </w:p>
    <w:p w14:paraId="0860D576" w14:textId="05E9C24C" w:rsidR="002F484E" w:rsidRDefault="009C38F0" w:rsidP="002F484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2F484E">
        <w:rPr>
          <w:rFonts w:ascii="Arial" w:hAnsi="Arial" w:cs="Arial"/>
          <w:sz w:val="22"/>
          <w:szCs w:val="22"/>
        </w:rPr>
        <w:t xml:space="preserve">Provide an interpretation for the prevalence ratio and 95%CI in Table 5, </w:t>
      </w:r>
      <w:proofErr w:type="spellStart"/>
      <w:r w:rsidRPr="002F484E">
        <w:rPr>
          <w:rFonts w:ascii="Arial" w:hAnsi="Arial" w:cs="Arial"/>
          <w:sz w:val="22"/>
          <w:szCs w:val="22"/>
        </w:rPr>
        <w:t>Sivakami</w:t>
      </w:r>
      <w:proofErr w:type="spellEnd"/>
      <w:r w:rsidRPr="002F484E">
        <w:rPr>
          <w:rFonts w:ascii="Arial" w:hAnsi="Arial" w:cs="Arial"/>
          <w:sz w:val="22"/>
          <w:szCs w:val="22"/>
        </w:rPr>
        <w:t xml:space="preserve"> et al 2019, for the “Yes” response to “Pain Medication in school.” </w:t>
      </w:r>
    </w:p>
    <w:p w14:paraId="73CF9A73" w14:textId="2C7CCE04" w:rsidR="002F484E" w:rsidRDefault="002F484E" w:rsidP="002F484E">
      <w:pPr>
        <w:rPr>
          <w:rFonts w:ascii="Arial" w:hAnsi="Arial" w:cs="Arial"/>
          <w:sz w:val="22"/>
          <w:szCs w:val="22"/>
        </w:rPr>
      </w:pPr>
    </w:p>
    <w:p w14:paraId="42816BC5" w14:textId="6B805AA7" w:rsidR="002F484E" w:rsidRPr="00206B62" w:rsidRDefault="00C82AEC" w:rsidP="00206B62">
      <w:pPr>
        <w:pStyle w:val="ListParagraph"/>
        <w:ind w:left="360"/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A 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prevalence ratio of </w:t>
      </w:r>
      <w:r>
        <w:rPr>
          <w:rFonts w:ascii="Arial" w:hAnsi="Arial" w:cs="Arial"/>
          <w:b/>
          <w:i/>
          <w:color w:val="222222"/>
          <w:shd w:val="clear" w:color="auto" w:fill="FFFFFF"/>
        </w:rPr>
        <w:t>.39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 means that the proportion of missing school during menstruation by adolescent girls in the 3 states in India</w:t>
      </w:r>
      <w:r w:rsidR="004C030B">
        <w:rPr>
          <w:rFonts w:ascii="Arial" w:hAnsi="Arial" w:cs="Arial"/>
          <w:b/>
          <w:i/>
          <w:color w:val="222222"/>
          <w:shd w:val="clear" w:color="auto" w:fill="FFFFFF"/>
        </w:rPr>
        <w:t xml:space="preserve"> who report that pain medication is given in their school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 is </w:t>
      </w:r>
      <w:r>
        <w:rPr>
          <w:rFonts w:ascii="Arial" w:hAnsi="Arial" w:cs="Arial"/>
          <w:b/>
          <w:i/>
          <w:color w:val="222222"/>
          <w:shd w:val="clear" w:color="auto" w:fill="FFFFFF"/>
        </w:rPr>
        <w:t>.39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 times </w:t>
      </w:r>
      <w:r>
        <w:rPr>
          <w:rFonts w:ascii="Arial" w:hAnsi="Arial" w:cs="Arial"/>
          <w:b/>
          <w:i/>
          <w:color w:val="222222"/>
          <w:shd w:val="clear" w:color="auto" w:fill="FFFFFF"/>
        </w:rPr>
        <w:t>that of</w:t>
      </w:r>
      <w:r w:rsidR="004C030B">
        <w:rPr>
          <w:rFonts w:ascii="Arial" w:hAnsi="Arial" w:cs="Arial"/>
          <w:b/>
          <w:i/>
          <w:color w:val="222222"/>
          <w:shd w:val="clear" w:color="auto" w:fill="FFFFFF"/>
        </w:rPr>
        <w:t xml:space="preserve"> girls who report not having pain medication given in their school. 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The confidence interval of (1.65,3.53) means that over repeated sampling with 95% confidence the true prevalence ratio is between </w:t>
      </w:r>
      <w:r w:rsidR="004C030B">
        <w:rPr>
          <w:rFonts w:ascii="Arial" w:hAnsi="Arial" w:cs="Arial"/>
          <w:b/>
          <w:i/>
          <w:color w:val="222222"/>
          <w:shd w:val="clear" w:color="auto" w:fill="FFFFFF"/>
        </w:rPr>
        <w:t xml:space="preserve">.26 and .59. </w:t>
      </w:r>
      <w:r w:rsidRPr="00C82AEC">
        <w:rPr>
          <w:rFonts w:ascii="Arial" w:hAnsi="Arial" w:cs="Arial"/>
          <w:b/>
          <w:i/>
          <w:color w:val="222222"/>
          <w:shd w:val="clear" w:color="auto" w:fill="FFFFFF"/>
        </w:rPr>
        <w:t xml:space="preserve">Since the null value (1) is not in the interval, the finding is statistically significant. </w:t>
      </w:r>
    </w:p>
    <w:p w14:paraId="5E2B16F3" w14:textId="77777777" w:rsidR="002F484E" w:rsidRPr="002F484E" w:rsidRDefault="002F484E" w:rsidP="002F484E">
      <w:pPr>
        <w:rPr>
          <w:rFonts w:ascii="Arial" w:hAnsi="Arial" w:cs="Arial"/>
          <w:sz w:val="22"/>
          <w:szCs w:val="22"/>
        </w:rPr>
      </w:pPr>
    </w:p>
    <w:p w14:paraId="079A3CE7" w14:textId="0E059CE6" w:rsidR="009C38F0" w:rsidRPr="002F484E" w:rsidRDefault="009C38F0" w:rsidP="002F484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2F484E">
        <w:rPr>
          <w:rFonts w:ascii="Arial" w:hAnsi="Arial" w:cs="Arial"/>
          <w:sz w:val="22"/>
          <w:szCs w:val="22"/>
        </w:rPr>
        <w:t xml:space="preserve">Examine the Tang et al. 2018 Table 2 below.  Provide a detailed interpretation for the China “region of birth” ratio measure. The total sample includes patients attending a community health center in NYC, 1997-2017, both those with and without HBV. </w:t>
      </w:r>
    </w:p>
    <w:p w14:paraId="6A456ED2" w14:textId="77777777" w:rsidR="00E02365" w:rsidRPr="00E02365" w:rsidRDefault="00E02365" w:rsidP="00E02365">
      <w:pPr>
        <w:rPr>
          <w:rFonts w:ascii="Arial" w:hAnsi="Arial" w:cs="Arial"/>
          <w:sz w:val="22"/>
          <w:szCs w:val="22"/>
        </w:rPr>
      </w:pPr>
    </w:p>
    <w:p w14:paraId="55F0F48F" w14:textId="23C0CAF8" w:rsidR="00676272" w:rsidRPr="009E5599" w:rsidRDefault="00676272" w:rsidP="00676272">
      <w:pPr>
        <w:rPr>
          <w:rFonts w:ascii="Arial" w:hAnsi="Arial" w:cs="Arial"/>
          <w:b/>
          <w:i/>
          <w:sz w:val="22"/>
          <w:szCs w:val="22"/>
        </w:rPr>
      </w:pPr>
      <w:r w:rsidRPr="009E5599">
        <w:rPr>
          <w:rFonts w:ascii="Arial" w:hAnsi="Arial" w:cs="Arial"/>
          <w:b/>
          <w:i/>
          <w:sz w:val="22"/>
          <w:szCs w:val="22"/>
        </w:rPr>
        <w:t xml:space="preserve">Both Odds Ratios were adjusted for </w:t>
      </w:r>
      <w:r w:rsidRPr="009E5599">
        <w:rPr>
          <w:rFonts w:ascii="Arial" w:hAnsi="Arial" w:cs="Arial"/>
          <w:b/>
          <w:i/>
          <w:sz w:val="22"/>
          <w:szCs w:val="22"/>
        </w:rPr>
        <w:t>age,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</w:t>
      </w:r>
      <w:r w:rsidRPr="009E5599">
        <w:rPr>
          <w:rFonts w:ascii="Arial" w:hAnsi="Arial" w:cs="Arial"/>
          <w:b/>
          <w:i/>
          <w:sz w:val="22"/>
          <w:szCs w:val="22"/>
        </w:rPr>
        <w:t>sex,</w:t>
      </w:r>
      <w:r w:rsidR="009E5599">
        <w:rPr>
          <w:rFonts w:ascii="Arial" w:hAnsi="Arial" w:cs="Arial"/>
          <w:b/>
          <w:i/>
          <w:sz w:val="22"/>
          <w:szCs w:val="22"/>
        </w:rPr>
        <w:t xml:space="preserve"> </w:t>
      </w:r>
      <w:r w:rsidRPr="009E5599">
        <w:rPr>
          <w:rFonts w:ascii="Arial" w:hAnsi="Arial" w:cs="Arial"/>
          <w:b/>
          <w:i/>
          <w:sz w:val="22"/>
          <w:szCs w:val="22"/>
        </w:rPr>
        <w:t>region of birth, language preference, insurance,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and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reported family history of HBV</w:t>
      </w:r>
      <w:r w:rsidR="009E5599" w:rsidRPr="009E5599">
        <w:rPr>
          <w:rFonts w:ascii="Arial" w:hAnsi="Arial" w:cs="Arial"/>
          <w:b/>
          <w:i/>
          <w:sz w:val="22"/>
          <w:szCs w:val="22"/>
        </w:rPr>
        <w:t>.</w:t>
      </w:r>
    </w:p>
    <w:p w14:paraId="561628DF" w14:textId="0B948FB3" w:rsidR="00E02365" w:rsidRDefault="00676272" w:rsidP="00E02365">
      <w:pPr>
        <w:rPr>
          <w:rFonts w:ascii="Arial" w:hAnsi="Arial" w:cs="Arial"/>
          <w:b/>
          <w:i/>
          <w:sz w:val="22"/>
          <w:szCs w:val="22"/>
        </w:rPr>
      </w:pPr>
      <w:r w:rsidRPr="009E5599">
        <w:rPr>
          <w:rFonts w:ascii="Arial" w:hAnsi="Arial" w:cs="Arial"/>
          <w:b/>
          <w:i/>
          <w:sz w:val="22"/>
          <w:szCs w:val="22"/>
        </w:rPr>
        <w:t>The Adjusted Odds ratio for China is 40.38. This means that</w:t>
      </w:r>
      <w:r w:rsidR="009E5599">
        <w:rPr>
          <w:rFonts w:ascii="Arial" w:hAnsi="Arial" w:cs="Arial"/>
          <w:b/>
          <w:i/>
          <w:sz w:val="22"/>
          <w:szCs w:val="22"/>
        </w:rPr>
        <w:t xml:space="preserve"> those born in China had 40.38 times the odds of current HBV infection as those born in the United States.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 </w:t>
      </w:r>
      <w:r w:rsidR="009E5599" w:rsidRPr="009E5599">
        <w:rPr>
          <w:rFonts w:ascii="Arial" w:hAnsi="Arial" w:cs="Arial"/>
          <w:b/>
          <w:i/>
          <w:sz w:val="22"/>
          <w:szCs w:val="22"/>
        </w:rPr>
        <w:t>We are 95% confident that the</w:t>
      </w:r>
      <w:r w:rsidR="009E5599">
        <w:rPr>
          <w:rFonts w:ascii="Arial" w:hAnsi="Arial" w:cs="Arial"/>
          <w:b/>
          <w:i/>
          <w:sz w:val="22"/>
          <w:szCs w:val="22"/>
        </w:rPr>
        <w:t xml:space="preserve"> adjusted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 odds ratio of </w:t>
      </w:r>
      <w:r w:rsidR="009E5599">
        <w:rPr>
          <w:rFonts w:ascii="Arial" w:hAnsi="Arial" w:cs="Arial"/>
          <w:b/>
          <w:i/>
          <w:sz w:val="22"/>
          <w:szCs w:val="22"/>
        </w:rPr>
        <w:t>current HBV infection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 in those </w:t>
      </w:r>
      <w:r w:rsidR="009E5599">
        <w:rPr>
          <w:rFonts w:ascii="Arial" w:hAnsi="Arial" w:cs="Arial"/>
          <w:b/>
          <w:i/>
          <w:sz w:val="22"/>
          <w:szCs w:val="22"/>
        </w:rPr>
        <w:t>born in China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 compared those </w:t>
      </w:r>
      <w:r w:rsidR="009E5599">
        <w:rPr>
          <w:rFonts w:ascii="Arial" w:hAnsi="Arial" w:cs="Arial"/>
          <w:b/>
          <w:i/>
          <w:sz w:val="22"/>
          <w:szCs w:val="22"/>
        </w:rPr>
        <w:t xml:space="preserve">born in the United States 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is between </w:t>
      </w:r>
      <w:r w:rsidR="009E5599">
        <w:rPr>
          <w:rFonts w:ascii="Arial" w:hAnsi="Arial" w:cs="Arial"/>
          <w:b/>
          <w:i/>
          <w:sz w:val="22"/>
          <w:szCs w:val="22"/>
        </w:rPr>
        <w:t>12.10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 and </w:t>
      </w:r>
      <w:r w:rsidR="009E5599">
        <w:rPr>
          <w:rFonts w:ascii="Arial" w:hAnsi="Arial" w:cs="Arial"/>
          <w:b/>
          <w:i/>
          <w:sz w:val="22"/>
          <w:szCs w:val="22"/>
        </w:rPr>
        <w:t>134.83</w:t>
      </w:r>
      <w:r w:rsidR="009E5599" w:rsidRPr="009E5599">
        <w:rPr>
          <w:rFonts w:ascii="Arial" w:hAnsi="Arial" w:cs="Arial"/>
          <w:b/>
          <w:i/>
          <w:sz w:val="22"/>
          <w:szCs w:val="22"/>
        </w:rPr>
        <w:t xml:space="preserve">. Since the 95% CI does not include the null value (1) the finding is statistically significant. 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2B2AD060" w14:textId="677A9919" w:rsidR="00E02365" w:rsidRPr="009E5599" w:rsidRDefault="009E5599" w:rsidP="00E02365">
      <w:pPr>
        <w:rPr>
          <w:rFonts w:ascii="Arial" w:hAnsi="Arial" w:cs="Arial"/>
          <w:b/>
          <w:i/>
          <w:sz w:val="22"/>
          <w:szCs w:val="22"/>
        </w:rPr>
      </w:pPr>
      <w:r w:rsidRPr="009E5599">
        <w:rPr>
          <w:rFonts w:ascii="Arial" w:hAnsi="Arial" w:cs="Arial"/>
          <w:b/>
          <w:i/>
          <w:sz w:val="22"/>
          <w:szCs w:val="22"/>
        </w:rPr>
        <w:t xml:space="preserve">The Adjusted Odds ratio for </w:t>
      </w:r>
      <w:r>
        <w:rPr>
          <w:rFonts w:ascii="Arial" w:hAnsi="Arial" w:cs="Arial"/>
          <w:b/>
          <w:i/>
          <w:sz w:val="22"/>
          <w:szCs w:val="22"/>
        </w:rPr>
        <w:t xml:space="preserve">other region of birth 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is </w:t>
      </w:r>
      <w:r>
        <w:rPr>
          <w:rFonts w:ascii="Arial" w:hAnsi="Arial" w:cs="Arial"/>
          <w:b/>
          <w:i/>
          <w:sz w:val="22"/>
          <w:szCs w:val="22"/>
        </w:rPr>
        <w:t>9.96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. This means </w:t>
      </w:r>
      <w:r>
        <w:rPr>
          <w:rFonts w:ascii="Arial" w:hAnsi="Arial" w:cs="Arial"/>
          <w:b/>
          <w:i/>
          <w:sz w:val="22"/>
          <w:szCs w:val="22"/>
        </w:rPr>
        <w:t xml:space="preserve">those born in a region other than China or the United States </w:t>
      </w:r>
      <w:r>
        <w:rPr>
          <w:rFonts w:ascii="Arial" w:hAnsi="Arial" w:cs="Arial"/>
          <w:b/>
          <w:i/>
          <w:sz w:val="22"/>
          <w:szCs w:val="22"/>
        </w:rPr>
        <w:t xml:space="preserve">had </w:t>
      </w:r>
      <w:r>
        <w:rPr>
          <w:rFonts w:ascii="Arial" w:hAnsi="Arial" w:cs="Arial"/>
          <w:b/>
          <w:i/>
          <w:sz w:val="22"/>
          <w:szCs w:val="22"/>
        </w:rPr>
        <w:t>9.96</w:t>
      </w:r>
      <w:r>
        <w:rPr>
          <w:rFonts w:ascii="Arial" w:hAnsi="Arial" w:cs="Arial"/>
          <w:b/>
          <w:i/>
          <w:sz w:val="22"/>
          <w:szCs w:val="22"/>
        </w:rPr>
        <w:t xml:space="preserve"> times the odds of current HBV infection as those born in the United States.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We are 95% confident that the</w:t>
      </w:r>
      <w:r>
        <w:rPr>
          <w:rFonts w:ascii="Arial" w:hAnsi="Arial" w:cs="Arial"/>
          <w:b/>
          <w:i/>
          <w:sz w:val="22"/>
          <w:szCs w:val="22"/>
        </w:rPr>
        <w:t xml:space="preserve"> adjusted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odds ratio of </w:t>
      </w:r>
      <w:r>
        <w:rPr>
          <w:rFonts w:ascii="Arial" w:hAnsi="Arial" w:cs="Arial"/>
          <w:b/>
          <w:i/>
          <w:sz w:val="22"/>
          <w:szCs w:val="22"/>
        </w:rPr>
        <w:t>current HBV infection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in those</w:t>
      </w:r>
      <w:r>
        <w:rPr>
          <w:rFonts w:ascii="Arial" w:hAnsi="Arial" w:cs="Arial"/>
          <w:b/>
          <w:i/>
          <w:sz w:val="22"/>
          <w:szCs w:val="22"/>
        </w:rPr>
        <w:t xml:space="preserve"> born in a region other than China or the United States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compared those </w:t>
      </w:r>
      <w:r>
        <w:rPr>
          <w:rFonts w:ascii="Arial" w:hAnsi="Arial" w:cs="Arial"/>
          <w:b/>
          <w:i/>
          <w:sz w:val="22"/>
          <w:szCs w:val="22"/>
        </w:rPr>
        <w:t xml:space="preserve">born in the United States 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is between </w:t>
      </w:r>
      <w:r>
        <w:rPr>
          <w:rFonts w:ascii="Arial" w:hAnsi="Arial" w:cs="Arial"/>
          <w:b/>
          <w:i/>
          <w:sz w:val="22"/>
          <w:szCs w:val="22"/>
        </w:rPr>
        <w:t>2.76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 and</w:t>
      </w:r>
      <w:r>
        <w:rPr>
          <w:rFonts w:ascii="Arial" w:hAnsi="Arial" w:cs="Arial"/>
          <w:b/>
          <w:i/>
          <w:sz w:val="22"/>
          <w:szCs w:val="22"/>
        </w:rPr>
        <w:t xml:space="preserve"> 35.92</w:t>
      </w:r>
      <w:r w:rsidRPr="009E5599">
        <w:rPr>
          <w:rFonts w:ascii="Arial" w:hAnsi="Arial" w:cs="Arial"/>
          <w:b/>
          <w:i/>
          <w:sz w:val="22"/>
          <w:szCs w:val="22"/>
        </w:rPr>
        <w:t xml:space="preserve">. Since the 95% CI does not include the null value (1) the finding is statistically significant.  </w:t>
      </w:r>
    </w:p>
    <w:p w14:paraId="388B00AD" w14:textId="2B5CED7C" w:rsidR="00E02365" w:rsidRPr="00E02365" w:rsidRDefault="00E02365" w:rsidP="00EB3BBB">
      <w:pPr>
        <w:rPr>
          <w:rFonts w:ascii="Arial" w:hAnsi="Arial" w:cs="Arial"/>
          <w:sz w:val="22"/>
          <w:szCs w:val="22"/>
        </w:rPr>
      </w:pPr>
    </w:p>
    <w:p w14:paraId="47A5BA06" w14:textId="77777777" w:rsidR="00E02365" w:rsidRPr="00E02365" w:rsidRDefault="00E02365" w:rsidP="00E02365">
      <w:pPr>
        <w:rPr>
          <w:rFonts w:ascii="Arial" w:hAnsi="Arial" w:cs="Arial"/>
          <w:sz w:val="22"/>
          <w:szCs w:val="22"/>
        </w:rPr>
      </w:pPr>
    </w:p>
    <w:bookmarkEnd w:id="2"/>
    <w:p w14:paraId="4008A53F" w14:textId="40D8D1B2" w:rsidR="00C15F4B" w:rsidRDefault="00C15F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8F1626B" w14:textId="183AE3BB" w:rsidR="00B809A8" w:rsidRDefault="00C15F4B" w:rsidP="00B809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Appendix </w:t>
      </w:r>
    </w:p>
    <w:p w14:paraId="263F344F" w14:textId="61C67717" w:rsidR="00C15F4B" w:rsidRDefault="00C15F4B" w:rsidP="00B809A8">
      <w:pPr>
        <w:rPr>
          <w:rFonts w:ascii="Arial" w:hAnsi="Arial" w:cs="Arial"/>
          <w:b/>
          <w:sz w:val="22"/>
          <w:szCs w:val="22"/>
        </w:rPr>
      </w:pPr>
    </w:p>
    <w:p w14:paraId="15D396A2" w14:textId="200D1948" w:rsidR="00C15F4B" w:rsidRDefault="00C15F4B" w:rsidP="00B809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 Code</w:t>
      </w:r>
    </w:p>
    <w:p w14:paraId="6A2BD858" w14:textId="2F179BA9" w:rsidR="00C15F4B" w:rsidRDefault="00C15F4B" w:rsidP="00B809A8">
      <w:pPr>
        <w:rPr>
          <w:rFonts w:ascii="Arial" w:hAnsi="Arial" w:cs="Arial"/>
          <w:b/>
          <w:sz w:val="22"/>
          <w:szCs w:val="22"/>
        </w:rPr>
      </w:pPr>
    </w:p>
    <w:p w14:paraId="7E7B618E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etable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=function(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exposure,disease</w:t>
      </w:r>
      <w:proofErr w:type="spellEnd"/>
      <w:proofErr w:type="gramEnd"/>
      <w:r w:rsidRPr="00C15F4B">
        <w:rPr>
          <w:rFonts w:ascii="Arial" w:hAnsi="Arial" w:cs="Arial"/>
          <w:b/>
          <w:sz w:val="22"/>
          <w:szCs w:val="22"/>
        </w:rPr>
        <w:t>){</w:t>
      </w:r>
    </w:p>
    <w:p w14:paraId="5E5A7B92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t=table(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exposure,disease</w:t>
      </w:r>
      <w:proofErr w:type="spellEnd"/>
      <w:proofErr w:type="gramEnd"/>
      <w:r w:rsidRPr="00C15F4B">
        <w:rPr>
          <w:rFonts w:ascii="Arial" w:hAnsi="Arial" w:cs="Arial"/>
          <w:b/>
          <w:sz w:val="22"/>
          <w:szCs w:val="22"/>
        </w:rPr>
        <w:t>)[2:1,2:1]</w:t>
      </w:r>
    </w:p>
    <w:p w14:paraId="50437AF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rownames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(t)=c('E+','E-')</w:t>
      </w:r>
    </w:p>
    <w:p w14:paraId="47D110EC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colnames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(t)=c('D+','D-')</w:t>
      </w:r>
    </w:p>
    <w:p w14:paraId="3A831A9B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kable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(t)</w:t>
      </w:r>
    </w:p>
    <w:p w14:paraId="52A08339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}</w:t>
      </w:r>
    </w:p>
    <w:p w14:paraId="72D7168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</w:p>
    <w:p w14:paraId="4087CCF9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riskratio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=function(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a,b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,c,d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){</w:t>
      </w:r>
    </w:p>
    <w:p w14:paraId="34CF529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e=a/(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a+b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</w:t>
      </w:r>
    </w:p>
    <w:p w14:paraId="10A00E13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f=c/(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c+d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</w:t>
      </w:r>
    </w:p>
    <w:p w14:paraId="6748B09D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c(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e,f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,e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/f)</w:t>
      </w:r>
    </w:p>
    <w:p w14:paraId="6AAC5C5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}</w:t>
      </w:r>
    </w:p>
    <w:p w14:paraId="715F3F42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</w:p>
    <w:p w14:paraId="6E0AB605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ciriskr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=function(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ecases,enoncases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,uecases,uenoncases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){</w:t>
      </w:r>
    </w:p>
    <w:p w14:paraId="2BF5BF2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a=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ecases</w:t>
      </w:r>
      <w:proofErr w:type="spellEnd"/>
    </w:p>
    <w:p w14:paraId="0DB2ECD9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b=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enoncases</w:t>
      </w:r>
      <w:proofErr w:type="spellEnd"/>
    </w:p>
    <w:p w14:paraId="243504B8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c=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uecases</w:t>
      </w:r>
      <w:proofErr w:type="spellEnd"/>
    </w:p>
    <w:p w14:paraId="2102D00D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d=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uenoncases</w:t>
      </w:r>
      <w:proofErr w:type="spellEnd"/>
    </w:p>
    <w:p w14:paraId="03F447F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e=a/(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a+b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</w:t>
      </w:r>
    </w:p>
    <w:p w14:paraId="4D79558C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f=c/(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c+d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</w:t>
      </w:r>
    </w:p>
    <w:p w14:paraId="42D3CA01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rr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=e/f</w:t>
      </w:r>
    </w:p>
    <w:p w14:paraId="51F962A7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z=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-1.96,1.96)</w:t>
      </w:r>
    </w:p>
    <w:p w14:paraId="674A75C9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se=sqrt(1/a-1/(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a+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b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)+</w:t>
      </w:r>
      <w:proofErr w:type="gramEnd"/>
    </w:p>
    <w:p w14:paraId="2E95870C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          1/c-1/(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c+d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))</w:t>
      </w:r>
    </w:p>
    <w:p w14:paraId="396AA7D5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ci=exp(log(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rr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)+z*se)</w:t>
      </w:r>
    </w:p>
    <w:p w14:paraId="4BB5735D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"Risk Ratio"=rr,"95 CI"=ci)</w:t>
      </w:r>
    </w:p>
    <w:p w14:paraId="0B17A09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}</w:t>
      </w:r>
    </w:p>
    <w:p w14:paraId="24786041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</w:p>
    <w:p w14:paraId="3911553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rateratio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=function(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cases,noncases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,pyrcases,pyrnoncases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){</w:t>
      </w:r>
    </w:p>
    <w:p w14:paraId="68FEC9EA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a=cases</w:t>
      </w:r>
    </w:p>
    <w:p w14:paraId="1194F2EC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b=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noncases</w:t>
      </w:r>
      <w:proofErr w:type="spellEnd"/>
    </w:p>
    <w:p w14:paraId="1A38043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p=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pyrcases</w:t>
      </w:r>
      <w:proofErr w:type="spellEnd"/>
    </w:p>
    <w:p w14:paraId="720608C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q=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pyrnoncases</w:t>
      </w:r>
      <w:proofErr w:type="spellEnd"/>
    </w:p>
    <w:p w14:paraId="6C8B4B2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(a/p)/(b/q)</w:t>
      </w:r>
    </w:p>
    <w:p w14:paraId="36CEEC10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}</w:t>
      </w:r>
    </w:p>
    <w:p w14:paraId="3B42F402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</w:p>
    <w:p w14:paraId="1297D489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cirater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=function(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cases,noncases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,pyrcases,pyrnoncases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){</w:t>
      </w:r>
    </w:p>
    <w:p w14:paraId="65C13D25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a=cases</w:t>
      </w:r>
    </w:p>
    <w:p w14:paraId="4153A92E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b=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noncases</w:t>
      </w:r>
      <w:proofErr w:type="spellEnd"/>
    </w:p>
    <w:p w14:paraId="418E236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p=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pyrcases</w:t>
      </w:r>
      <w:proofErr w:type="spellEnd"/>
    </w:p>
    <w:p w14:paraId="04F0EA28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q=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pyrnoncases</w:t>
      </w:r>
      <w:proofErr w:type="spellEnd"/>
    </w:p>
    <w:p w14:paraId="2953BBCD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rr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=(a/p)/(b/q)</w:t>
      </w:r>
    </w:p>
    <w:p w14:paraId="0C5874F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se=sqrt(1/a+1/b)</w:t>
      </w:r>
    </w:p>
    <w:p w14:paraId="388B6113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z=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-1.96,1.96)</w:t>
      </w:r>
    </w:p>
    <w:p w14:paraId="5617E4BA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ci=exp(log(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rr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)+z*se)</w:t>
      </w:r>
    </w:p>
    <w:p w14:paraId="6DAE90B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"Rate Ratio"=rr,"95 CI"=ci)</w:t>
      </w:r>
    </w:p>
    <w:p w14:paraId="54B94CA7" w14:textId="3B1367A5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}</w:t>
      </w:r>
    </w:p>
    <w:p w14:paraId="63BE8F50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lastRenderedPageBreak/>
        <w:t>cioddsr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=function(</w:t>
      </w: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ecases,enoncases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,uecases,uenoncases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){</w:t>
      </w:r>
    </w:p>
    <w:p w14:paraId="208CD871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a=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ecases</w:t>
      </w:r>
      <w:proofErr w:type="spellEnd"/>
    </w:p>
    <w:p w14:paraId="56581B80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b=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enoncases</w:t>
      </w:r>
      <w:proofErr w:type="spellEnd"/>
    </w:p>
    <w:p w14:paraId="0D23DD09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c=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uecases</w:t>
      </w:r>
      <w:proofErr w:type="spellEnd"/>
    </w:p>
    <w:p w14:paraId="33E36C73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d=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uenoncases</w:t>
      </w:r>
      <w:proofErr w:type="spellEnd"/>
    </w:p>
    <w:p w14:paraId="36C44AE0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or=(a/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c)*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(d/b)</w:t>
      </w:r>
    </w:p>
    <w:p w14:paraId="237937B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se=sqrt(1/a+1/b+1/c+1/d)</w:t>
      </w:r>
    </w:p>
    <w:p w14:paraId="7C5B0DC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z=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-1.96,1.96)</w:t>
      </w:r>
    </w:p>
    <w:p w14:paraId="4C2C1170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ci=exp(log(or)+z*se)</w:t>
      </w:r>
    </w:p>
    <w:p w14:paraId="51A5CBA1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"Odds Ratio"=or,"95 CI"=ci)</w:t>
      </w:r>
    </w:p>
    <w:p w14:paraId="428DF466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dat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 xml:space="preserve"> = 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read_excel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("IDA_Dataset+8.7.18.xlsx")</w:t>
      </w:r>
    </w:p>
    <w:p w14:paraId="5AE5D37B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dat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dat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%&gt;%select(-c(X__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1,X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__2))</w:t>
      </w:r>
    </w:p>
    <w:p w14:paraId="3DEEFB23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dat2=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dat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%&gt;%select(c(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CANCER,VIRUS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,PERSONDAYS,LTF))</w:t>
      </w:r>
    </w:p>
    <w:p w14:paraId="1425454F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dat2=dat2%&gt;%mutate(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personyrs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=PERSONDAYS/365)</w:t>
      </w:r>
    </w:p>
    <w:p w14:paraId="54777E6D" w14:textId="27E0125F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taba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=table(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dat$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VIRUS,dat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$CANCER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)[2:1,2:1]</w:t>
      </w:r>
    </w:p>
    <w:p w14:paraId="073A0E2B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x=c("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Exposed","Unexposed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")</w:t>
      </w:r>
    </w:p>
    <w:p w14:paraId="593E30AE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y=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c(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"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Cancer","No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 xml:space="preserve"> Cancer")</w:t>
      </w:r>
    </w:p>
    <w:p w14:paraId="41DE71BB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C15F4B">
        <w:rPr>
          <w:rFonts w:ascii="Arial" w:hAnsi="Arial" w:cs="Arial"/>
          <w:b/>
          <w:sz w:val="22"/>
          <w:szCs w:val="22"/>
        </w:rPr>
        <w:t>row.names</w:t>
      </w:r>
      <w:proofErr w:type="spellEnd"/>
      <w:proofErr w:type="gramEnd"/>
      <w:r w:rsidRPr="00C15F4B">
        <w:rPr>
          <w:rFonts w:ascii="Arial" w:hAnsi="Arial" w:cs="Arial"/>
          <w:b/>
          <w:sz w:val="22"/>
          <w:szCs w:val="22"/>
        </w:rPr>
        <w:t>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taba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)=x</w:t>
      </w:r>
    </w:p>
    <w:p w14:paraId="0DBDE9B4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colnames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taba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)=y</w:t>
      </w:r>
    </w:p>
    <w:p w14:paraId="49BB5EE7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proofErr w:type="spellStart"/>
      <w:r w:rsidRPr="00C15F4B">
        <w:rPr>
          <w:rFonts w:ascii="Arial" w:hAnsi="Arial" w:cs="Arial"/>
          <w:b/>
          <w:sz w:val="22"/>
          <w:szCs w:val="22"/>
        </w:rPr>
        <w:t>kable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taba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</w:t>
      </w:r>
    </w:p>
    <w:p w14:paraId="3434ACD2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dat2%&gt;%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filter(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VIRUS==1)%&gt;%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summarise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pyrs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=sum(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personyrs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))</w:t>
      </w:r>
    </w:p>
    <w:p w14:paraId="63D6B327" w14:textId="77777777" w:rsidR="00C15F4B" w:rsidRPr="00C15F4B" w:rsidRDefault="00C15F4B" w:rsidP="00C15F4B">
      <w:pPr>
        <w:rPr>
          <w:rFonts w:ascii="Arial" w:hAnsi="Arial" w:cs="Arial"/>
          <w:b/>
          <w:sz w:val="22"/>
          <w:szCs w:val="22"/>
        </w:rPr>
      </w:pPr>
      <w:r w:rsidRPr="00C15F4B">
        <w:rPr>
          <w:rFonts w:ascii="Arial" w:hAnsi="Arial" w:cs="Arial"/>
          <w:b/>
          <w:sz w:val="22"/>
          <w:szCs w:val="22"/>
        </w:rPr>
        <w:t>dat2%&gt;%</w:t>
      </w:r>
      <w:proofErr w:type="gramStart"/>
      <w:r w:rsidRPr="00C15F4B">
        <w:rPr>
          <w:rFonts w:ascii="Arial" w:hAnsi="Arial" w:cs="Arial"/>
          <w:b/>
          <w:sz w:val="22"/>
          <w:szCs w:val="22"/>
        </w:rPr>
        <w:t>filter(</w:t>
      </w:r>
      <w:proofErr w:type="gramEnd"/>
      <w:r w:rsidRPr="00C15F4B">
        <w:rPr>
          <w:rFonts w:ascii="Arial" w:hAnsi="Arial" w:cs="Arial"/>
          <w:b/>
          <w:sz w:val="22"/>
          <w:szCs w:val="22"/>
        </w:rPr>
        <w:t>VIRUS==0)%&gt;%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summarise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pyrs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=sum(</w:t>
      </w:r>
      <w:proofErr w:type="spellStart"/>
      <w:r w:rsidRPr="00C15F4B">
        <w:rPr>
          <w:rFonts w:ascii="Arial" w:hAnsi="Arial" w:cs="Arial"/>
          <w:b/>
          <w:sz w:val="22"/>
          <w:szCs w:val="22"/>
        </w:rPr>
        <w:t>personyrs</w:t>
      </w:r>
      <w:proofErr w:type="spellEnd"/>
      <w:r w:rsidRPr="00C15F4B">
        <w:rPr>
          <w:rFonts w:ascii="Arial" w:hAnsi="Arial" w:cs="Arial"/>
          <w:b/>
          <w:sz w:val="22"/>
          <w:szCs w:val="22"/>
        </w:rPr>
        <w:t>))</w:t>
      </w:r>
    </w:p>
    <w:p w14:paraId="37BB6741" w14:textId="5A2D926A" w:rsidR="00C15F4B" w:rsidRPr="00E02365" w:rsidRDefault="00C15F4B" w:rsidP="00C15F4B">
      <w:pPr>
        <w:rPr>
          <w:rFonts w:ascii="Arial" w:hAnsi="Arial" w:cs="Arial"/>
          <w:b/>
          <w:sz w:val="22"/>
          <w:szCs w:val="22"/>
        </w:rPr>
      </w:pPr>
      <w:bookmarkStart w:id="3" w:name="_GoBack"/>
      <w:bookmarkEnd w:id="3"/>
    </w:p>
    <w:sectPr w:rsidR="00C15F4B" w:rsidRPr="00E02365" w:rsidSect="00F71A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79E89" w14:textId="77777777" w:rsidR="00B34ED2" w:rsidRDefault="00B34ED2" w:rsidP="00B04D9B">
      <w:r>
        <w:separator/>
      </w:r>
    </w:p>
  </w:endnote>
  <w:endnote w:type="continuationSeparator" w:id="0">
    <w:p w14:paraId="6FD36AA9" w14:textId="77777777" w:rsidR="00B34ED2" w:rsidRDefault="00B34ED2" w:rsidP="00B0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99858" w14:textId="77777777" w:rsidR="00183C22" w:rsidRDefault="00183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9251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FC87F" w14:textId="0CBF4E2E" w:rsidR="00097238" w:rsidRDefault="00097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F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3BC5CB" w14:textId="77777777" w:rsidR="00097238" w:rsidRDefault="00097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55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EBCDF" w14:textId="5157AEED" w:rsidR="00097238" w:rsidRDefault="00097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C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D9479C" w14:textId="77777777" w:rsidR="00097238" w:rsidRDefault="00097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6515" w14:textId="77777777" w:rsidR="00B34ED2" w:rsidRDefault="00B34ED2" w:rsidP="00B04D9B">
      <w:r>
        <w:separator/>
      </w:r>
    </w:p>
  </w:footnote>
  <w:footnote w:type="continuationSeparator" w:id="0">
    <w:p w14:paraId="7153EFF5" w14:textId="77777777" w:rsidR="00B34ED2" w:rsidRDefault="00B34ED2" w:rsidP="00B04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0906" w14:textId="77777777" w:rsidR="00183C22" w:rsidRDefault="00183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/>
        <w:sz w:val="22"/>
        <w:szCs w:val="22"/>
      </w:rPr>
      <w:id w:val="3938574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EB8773" w14:textId="39D47BDD" w:rsidR="00473ACA" w:rsidRPr="003B3304" w:rsidRDefault="00183C22" w:rsidP="007C788D">
        <w:pPr>
          <w:pStyle w:val="Header"/>
          <w:jc w:val="right"/>
          <w:rPr>
            <w:rFonts w:ascii="Arial" w:hAnsi="Arial" w:cs="Arial"/>
            <w:i/>
            <w:sz w:val="22"/>
            <w:szCs w:val="22"/>
          </w:rPr>
        </w:pPr>
        <w:r>
          <w:rPr>
            <w:rFonts w:ascii="Arial" w:hAnsi="Arial" w:cs="Arial"/>
            <w:i/>
            <w:sz w:val="22"/>
            <w:szCs w:val="22"/>
          </w:rPr>
          <w:t>Ty Darnell</w:t>
        </w:r>
      </w:p>
    </w:sdtContent>
  </w:sdt>
  <w:p w14:paraId="6EB82183" w14:textId="77777777" w:rsidR="00473ACA" w:rsidRPr="003B3304" w:rsidRDefault="007C788D" w:rsidP="007C788D">
    <w:pPr>
      <w:pStyle w:val="Header"/>
      <w:jc w:val="right"/>
      <w:rPr>
        <w:rFonts w:ascii="Arial" w:hAnsi="Arial" w:cs="Arial"/>
        <w:sz w:val="22"/>
        <w:szCs w:val="22"/>
      </w:rPr>
    </w:pPr>
    <w:r w:rsidRPr="003B3304">
      <w:rPr>
        <w:rFonts w:ascii="Arial" w:hAnsi="Arial" w:cs="Arial"/>
        <w:sz w:val="22"/>
        <w:szCs w:val="22"/>
      </w:rPr>
      <w:t>Individual Data Analysis, Part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/>
        <w:sz w:val="22"/>
        <w:szCs w:val="22"/>
      </w:rPr>
      <w:id w:val="-2136399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A9C5C4" w14:textId="49B422D6" w:rsidR="003B3304" w:rsidRPr="003B3304" w:rsidRDefault="00183C22" w:rsidP="00B04D9B">
        <w:pPr>
          <w:pStyle w:val="Header"/>
          <w:jc w:val="right"/>
          <w:rPr>
            <w:rFonts w:ascii="Arial" w:hAnsi="Arial" w:cs="Arial"/>
            <w:i/>
            <w:sz w:val="22"/>
            <w:szCs w:val="22"/>
          </w:rPr>
        </w:pPr>
        <w:r>
          <w:rPr>
            <w:rFonts w:ascii="Arial" w:hAnsi="Arial" w:cs="Arial"/>
            <w:i/>
            <w:sz w:val="22"/>
            <w:szCs w:val="22"/>
          </w:rPr>
          <w:t>Ty Darnell</w:t>
        </w:r>
      </w:p>
    </w:sdtContent>
  </w:sdt>
  <w:p w14:paraId="4B14D0DC" w14:textId="77777777" w:rsidR="003B3304" w:rsidRPr="003B3304" w:rsidRDefault="007C788D" w:rsidP="00B04D9B">
    <w:pPr>
      <w:pStyle w:val="Header"/>
      <w:jc w:val="right"/>
      <w:rPr>
        <w:rFonts w:ascii="Arial" w:hAnsi="Arial" w:cs="Arial"/>
        <w:sz w:val="22"/>
        <w:szCs w:val="22"/>
      </w:rPr>
    </w:pPr>
    <w:r w:rsidRPr="003B3304">
      <w:rPr>
        <w:rFonts w:ascii="Arial" w:hAnsi="Arial" w:cs="Arial"/>
        <w:sz w:val="22"/>
        <w:szCs w:val="22"/>
      </w:rPr>
      <w:t>Individual Data Analysis, Part 2</w:t>
    </w:r>
  </w:p>
  <w:p w14:paraId="789D6DE5" w14:textId="77777777" w:rsidR="003B3304" w:rsidRDefault="00C15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F82"/>
    <w:multiLevelType w:val="hybridMultilevel"/>
    <w:tmpl w:val="FB64CD00"/>
    <w:lvl w:ilvl="0" w:tplc="22FC8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C8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04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A4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C8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AC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A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E6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E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142E0F"/>
    <w:multiLevelType w:val="hybridMultilevel"/>
    <w:tmpl w:val="3D8808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09E"/>
    <w:multiLevelType w:val="hybridMultilevel"/>
    <w:tmpl w:val="946A4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9311B"/>
    <w:multiLevelType w:val="hybridMultilevel"/>
    <w:tmpl w:val="2760E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D11E1"/>
    <w:multiLevelType w:val="hybridMultilevel"/>
    <w:tmpl w:val="946A4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F3719F"/>
    <w:multiLevelType w:val="hybridMultilevel"/>
    <w:tmpl w:val="EFF2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A1D"/>
    <w:multiLevelType w:val="hybridMultilevel"/>
    <w:tmpl w:val="C4548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E7F5C"/>
    <w:multiLevelType w:val="hybridMultilevel"/>
    <w:tmpl w:val="946A4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9A1322"/>
    <w:multiLevelType w:val="hybridMultilevel"/>
    <w:tmpl w:val="4216C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D3271"/>
    <w:multiLevelType w:val="hybridMultilevel"/>
    <w:tmpl w:val="4050C0A6"/>
    <w:lvl w:ilvl="0" w:tplc="43C41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F245E"/>
    <w:multiLevelType w:val="hybridMultilevel"/>
    <w:tmpl w:val="AEE2C42C"/>
    <w:lvl w:ilvl="0" w:tplc="68920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54"/>
    <w:rsid w:val="00061CF0"/>
    <w:rsid w:val="0009683A"/>
    <w:rsid w:val="00097238"/>
    <w:rsid w:val="000B2947"/>
    <w:rsid w:val="000B56BE"/>
    <w:rsid w:val="001049A0"/>
    <w:rsid w:val="00107A1B"/>
    <w:rsid w:val="001170B1"/>
    <w:rsid w:val="001664C4"/>
    <w:rsid w:val="00183C22"/>
    <w:rsid w:val="001B3854"/>
    <w:rsid w:val="00204F5A"/>
    <w:rsid w:val="00206B62"/>
    <w:rsid w:val="00210355"/>
    <w:rsid w:val="00212B48"/>
    <w:rsid w:val="00261D52"/>
    <w:rsid w:val="002A3001"/>
    <w:rsid w:val="002B0071"/>
    <w:rsid w:val="002F484E"/>
    <w:rsid w:val="00322A5C"/>
    <w:rsid w:val="00351419"/>
    <w:rsid w:val="003D0A11"/>
    <w:rsid w:val="0041178B"/>
    <w:rsid w:val="00442639"/>
    <w:rsid w:val="004433B4"/>
    <w:rsid w:val="004876A7"/>
    <w:rsid w:val="004C030B"/>
    <w:rsid w:val="004D321C"/>
    <w:rsid w:val="004D6C35"/>
    <w:rsid w:val="0052297A"/>
    <w:rsid w:val="00614DEF"/>
    <w:rsid w:val="0061548D"/>
    <w:rsid w:val="0062598C"/>
    <w:rsid w:val="0065651C"/>
    <w:rsid w:val="00674BAA"/>
    <w:rsid w:val="00676272"/>
    <w:rsid w:val="006D1B9F"/>
    <w:rsid w:val="00725E79"/>
    <w:rsid w:val="00743B82"/>
    <w:rsid w:val="007621B1"/>
    <w:rsid w:val="00766768"/>
    <w:rsid w:val="007B6279"/>
    <w:rsid w:val="007C67AC"/>
    <w:rsid w:val="007C788D"/>
    <w:rsid w:val="007D2C26"/>
    <w:rsid w:val="007D61D2"/>
    <w:rsid w:val="007E5A2B"/>
    <w:rsid w:val="008073C1"/>
    <w:rsid w:val="00820C35"/>
    <w:rsid w:val="00840273"/>
    <w:rsid w:val="00863AC1"/>
    <w:rsid w:val="00876F85"/>
    <w:rsid w:val="00885DBB"/>
    <w:rsid w:val="008A0AFB"/>
    <w:rsid w:val="008B01D0"/>
    <w:rsid w:val="008B2FC8"/>
    <w:rsid w:val="008F303B"/>
    <w:rsid w:val="00917872"/>
    <w:rsid w:val="009858AF"/>
    <w:rsid w:val="009C38F0"/>
    <w:rsid w:val="009C6F28"/>
    <w:rsid w:val="009E5599"/>
    <w:rsid w:val="00A07138"/>
    <w:rsid w:val="00A31162"/>
    <w:rsid w:val="00A66439"/>
    <w:rsid w:val="00A76FB1"/>
    <w:rsid w:val="00AB7DDD"/>
    <w:rsid w:val="00AD1E78"/>
    <w:rsid w:val="00AE42F6"/>
    <w:rsid w:val="00B04D9B"/>
    <w:rsid w:val="00B34ED2"/>
    <w:rsid w:val="00B41B20"/>
    <w:rsid w:val="00B430A0"/>
    <w:rsid w:val="00B66FFB"/>
    <w:rsid w:val="00B809A8"/>
    <w:rsid w:val="00BB7237"/>
    <w:rsid w:val="00BE1E7E"/>
    <w:rsid w:val="00BE5328"/>
    <w:rsid w:val="00BE5674"/>
    <w:rsid w:val="00C10C70"/>
    <w:rsid w:val="00C15F4B"/>
    <w:rsid w:val="00C5245E"/>
    <w:rsid w:val="00C82AEC"/>
    <w:rsid w:val="00CB5BC9"/>
    <w:rsid w:val="00CC7867"/>
    <w:rsid w:val="00D91D62"/>
    <w:rsid w:val="00DF615C"/>
    <w:rsid w:val="00E02365"/>
    <w:rsid w:val="00E2244F"/>
    <w:rsid w:val="00E56533"/>
    <w:rsid w:val="00E72868"/>
    <w:rsid w:val="00E74E30"/>
    <w:rsid w:val="00EB3BBB"/>
    <w:rsid w:val="00F42DED"/>
    <w:rsid w:val="00F664E1"/>
    <w:rsid w:val="00F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DDAC"/>
  <w15:chartTrackingRefBased/>
  <w15:docId w15:val="{C8F838B5-F1DA-44EE-8B41-D60766A9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85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54"/>
    <w:pPr>
      <w:ind w:left="720"/>
      <w:contextualSpacing/>
    </w:pPr>
  </w:style>
  <w:style w:type="table" w:styleId="TableGrid">
    <w:name w:val="Table Grid"/>
    <w:basedOn w:val="TableNormal"/>
    <w:uiPriority w:val="39"/>
    <w:rsid w:val="001B385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B3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85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4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D9B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30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6C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35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35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7DDD"/>
    <w:pPr>
      <w:spacing w:after="0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2365"/>
    <w:rPr>
      <w:color w:val="0000FF"/>
      <w:u w:val="single"/>
    </w:rPr>
  </w:style>
  <w:style w:type="character" w:customStyle="1" w:styleId="highlight">
    <w:name w:val="highlight"/>
    <w:basedOn w:val="DefaultParagraphFont"/>
    <w:rsid w:val="00E02365"/>
  </w:style>
  <w:style w:type="character" w:customStyle="1" w:styleId="jrnl">
    <w:name w:val="jrnl"/>
    <w:basedOn w:val="DefaultParagraphFont"/>
    <w:rsid w:val="00E0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1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Yeatts, Karin</dc:creator>
  <cp:keywords/>
  <dc:description/>
  <cp:lastModifiedBy>Ty Darnell</cp:lastModifiedBy>
  <cp:revision>47</cp:revision>
  <cp:lastPrinted>2018-06-28T21:55:00Z</cp:lastPrinted>
  <dcterms:created xsi:type="dcterms:W3CDTF">2019-02-22T14:52:00Z</dcterms:created>
  <dcterms:modified xsi:type="dcterms:W3CDTF">2019-02-22T22:35:00Z</dcterms:modified>
</cp:coreProperties>
</file>