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2C3E" w14:textId="77777777" w:rsidR="009C1B77" w:rsidRPr="00B740DE" w:rsidRDefault="009C1B77" w:rsidP="00B740DE">
      <w:pPr>
        <w:pStyle w:val="Heading1"/>
        <w:jc w:val="center"/>
        <w:rPr>
          <w:rStyle w:val="IntenseReference"/>
          <w:b w:val="0"/>
        </w:rPr>
      </w:pPr>
      <w:r w:rsidRPr="00B740DE">
        <w:rPr>
          <w:rStyle w:val="IntenseReference"/>
          <w:b w:val="0"/>
        </w:rPr>
        <w:t>Case Study – Cohort Studies</w:t>
      </w:r>
    </w:p>
    <w:p w14:paraId="1BCC2203" w14:textId="77777777" w:rsidR="00A95595" w:rsidRPr="00B740DE" w:rsidRDefault="009C1B77" w:rsidP="00B740DE">
      <w:pPr>
        <w:pStyle w:val="Heading1"/>
        <w:jc w:val="center"/>
        <w:rPr>
          <w:rFonts w:ascii="Arial" w:hAnsi="Arial" w:cs="Arial"/>
          <w:b/>
        </w:rPr>
      </w:pPr>
      <w:r w:rsidRPr="00B740DE">
        <w:rPr>
          <w:rStyle w:val="IntenseReference"/>
          <w:b w:val="0"/>
        </w:rPr>
        <w:t>Epidemiology 600</w:t>
      </w:r>
    </w:p>
    <w:p w14:paraId="01419E9E" w14:textId="77777777" w:rsidR="00AD27FD" w:rsidRPr="00FE4013" w:rsidRDefault="00DB396C" w:rsidP="00A95595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 </w:t>
      </w:r>
    </w:p>
    <w:p w14:paraId="4D6EB87D" w14:textId="77777777" w:rsidR="00AD27FD" w:rsidRPr="00FE4013" w:rsidRDefault="00AD27FD" w:rsidP="00C80C54">
      <w:pPr>
        <w:rPr>
          <w:rFonts w:ascii="Arial" w:hAnsi="Arial" w:cs="Arial"/>
        </w:rPr>
      </w:pPr>
    </w:p>
    <w:p w14:paraId="2BA869E1" w14:textId="77777777" w:rsidR="00B740DE" w:rsidRDefault="00B740DE" w:rsidP="00481940">
      <w:pPr>
        <w:rPr>
          <w:rFonts w:ascii="Arial" w:hAnsi="Arial" w:cs="Arial"/>
          <w:b/>
        </w:rPr>
      </w:pPr>
    </w:p>
    <w:p w14:paraId="76F2B334" w14:textId="77777777" w:rsidR="00DF2A5C" w:rsidRPr="003D472D" w:rsidRDefault="00DF2A5C" w:rsidP="00DF2A5C">
      <w:pPr>
        <w:pStyle w:val="NormalWeb"/>
        <w:spacing w:before="0" w:beforeAutospacing="0" w:after="0" w:afterAutospacing="0"/>
        <w:rPr>
          <w:rFonts w:ascii="Arial" w:hAnsi="Arial" w:cs="Arial"/>
          <w:b/>
          <w:sz w:val="32"/>
          <w:szCs w:val="32"/>
          <w:u w:val="single"/>
        </w:rPr>
      </w:pPr>
      <w:r w:rsidRPr="003D472D">
        <w:rPr>
          <w:rFonts w:ascii="Arial" w:hAnsi="Arial" w:cs="Arial"/>
          <w:b/>
          <w:sz w:val="32"/>
          <w:szCs w:val="32"/>
          <w:u w:val="single"/>
        </w:rPr>
        <w:t>Pre-Lab Individual Work</w:t>
      </w:r>
    </w:p>
    <w:p w14:paraId="57D1C342" w14:textId="77777777" w:rsidR="00DF2A5C" w:rsidRDefault="00DF2A5C" w:rsidP="00DF2A5C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  <w:szCs w:val="22"/>
        </w:rPr>
      </w:pPr>
      <w:r w:rsidRPr="00D41010">
        <w:rPr>
          <w:rFonts w:ascii="Arial" w:hAnsi="Arial" w:cs="Arial"/>
          <w:i/>
          <w:sz w:val="22"/>
          <w:szCs w:val="22"/>
        </w:rPr>
        <w:t>Please complete the following</w:t>
      </w:r>
      <w:r>
        <w:rPr>
          <w:rFonts w:ascii="Arial" w:hAnsi="Arial" w:cs="Arial"/>
          <w:i/>
          <w:sz w:val="22"/>
          <w:szCs w:val="22"/>
        </w:rPr>
        <w:t xml:space="preserve"> Part 1 and associated questions</w:t>
      </w:r>
      <w:r w:rsidRPr="00D41010">
        <w:rPr>
          <w:rFonts w:ascii="Arial" w:hAnsi="Arial" w:cs="Arial"/>
          <w:i/>
          <w:sz w:val="22"/>
          <w:szCs w:val="22"/>
        </w:rPr>
        <w:t xml:space="preserve"> </w:t>
      </w:r>
      <w:r w:rsidRPr="00D41010">
        <w:rPr>
          <w:rFonts w:ascii="Arial" w:hAnsi="Arial" w:cs="Arial"/>
          <w:b/>
          <w:i/>
          <w:sz w:val="22"/>
          <w:szCs w:val="22"/>
          <w:u w:val="single"/>
        </w:rPr>
        <w:t>BEFORE</w:t>
      </w:r>
      <w:r w:rsidRPr="00D41010">
        <w:rPr>
          <w:rFonts w:ascii="Arial" w:hAnsi="Arial" w:cs="Arial"/>
          <w:i/>
          <w:sz w:val="22"/>
          <w:szCs w:val="22"/>
        </w:rPr>
        <w:t xml:space="preserve"> lab. </w:t>
      </w:r>
    </w:p>
    <w:p w14:paraId="253C8E13" w14:textId="77777777" w:rsidR="00DF2A5C" w:rsidRPr="00D41010" w:rsidRDefault="00DF2A5C" w:rsidP="00DF2A5C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  <w:szCs w:val="22"/>
        </w:rPr>
      </w:pPr>
      <w:r w:rsidRPr="00D41010">
        <w:rPr>
          <w:rFonts w:ascii="Arial" w:hAnsi="Arial" w:cs="Arial"/>
          <w:i/>
          <w:sz w:val="22"/>
          <w:szCs w:val="22"/>
        </w:rPr>
        <w:t xml:space="preserve">  </w:t>
      </w:r>
    </w:p>
    <w:p w14:paraId="1F23333D" w14:textId="77777777" w:rsidR="00DF2A5C" w:rsidRDefault="00DF2A5C" w:rsidP="00DF2A5C">
      <w:pPr>
        <w:tabs>
          <w:tab w:val="left" w:pos="360"/>
          <w:tab w:val="left" w:pos="810"/>
        </w:tabs>
        <w:ind w:left="360" w:hanging="360"/>
        <w:rPr>
          <w:rFonts w:ascii="Arial" w:hAnsi="Arial" w:cs="Arial"/>
          <w:b/>
        </w:rPr>
      </w:pPr>
      <w:r w:rsidRPr="000277DE">
        <w:rPr>
          <w:rFonts w:ascii="Arial" w:hAnsi="Arial" w:cs="Arial"/>
          <w:b/>
        </w:rPr>
        <w:t xml:space="preserve">PART 1:  Applying </w:t>
      </w:r>
      <w:r>
        <w:rPr>
          <w:rFonts w:ascii="Arial" w:hAnsi="Arial" w:cs="Arial"/>
          <w:b/>
        </w:rPr>
        <w:t>the concepts discussed in</w:t>
      </w:r>
      <w:r w:rsidRPr="000277DE">
        <w:rPr>
          <w:rFonts w:ascii="Arial" w:hAnsi="Arial" w:cs="Arial"/>
          <w:b/>
        </w:rPr>
        <w:t xml:space="preserve"> lecture.</w:t>
      </w:r>
    </w:p>
    <w:p w14:paraId="247177D0" w14:textId="77777777" w:rsidR="00DF2A5C" w:rsidRDefault="00DF2A5C" w:rsidP="00481940">
      <w:pPr>
        <w:rPr>
          <w:rFonts w:ascii="Arial" w:hAnsi="Arial" w:cs="Arial"/>
          <w:b/>
        </w:rPr>
      </w:pPr>
    </w:p>
    <w:p w14:paraId="300E396F" w14:textId="77777777" w:rsidR="00DF2A5C" w:rsidRDefault="00DF2A5C" w:rsidP="00481940">
      <w:pPr>
        <w:rPr>
          <w:rFonts w:ascii="Arial" w:hAnsi="Arial" w:cs="Arial"/>
          <w:b/>
        </w:rPr>
      </w:pPr>
    </w:p>
    <w:p w14:paraId="2CBE2D1E" w14:textId="77777777" w:rsidR="00481940" w:rsidRPr="00FE4013" w:rsidRDefault="00481940" w:rsidP="00481940">
      <w:pPr>
        <w:rPr>
          <w:rFonts w:ascii="Arial" w:hAnsi="Arial" w:cs="Arial"/>
        </w:rPr>
      </w:pPr>
      <w:r w:rsidRPr="00FE4013">
        <w:rPr>
          <w:rFonts w:ascii="Arial" w:hAnsi="Arial" w:cs="Arial"/>
          <w:b/>
        </w:rPr>
        <w:t xml:space="preserve">Readings: </w:t>
      </w:r>
      <w:hyperlink r:id="rId5" w:history="1">
        <w:r w:rsidRPr="00A3255F">
          <w:rPr>
            <w:rStyle w:val="Hyperlink"/>
            <w:rFonts w:ascii="Arial" w:hAnsi="Arial" w:cs="Arial"/>
          </w:rPr>
          <w:t xml:space="preserve">Franks PW, Hanson RL, </w:t>
        </w:r>
        <w:proofErr w:type="spellStart"/>
        <w:r w:rsidRPr="00A3255F">
          <w:rPr>
            <w:rStyle w:val="Hyperlink"/>
            <w:rFonts w:ascii="Arial" w:hAnsi="Arial" w:cs="Arial"/>
          </w:rPr>
          <w:t>Knowler</w:t>
        </w:r>
        <w:proofErr w:type="spellEnd"/>
        <w:r w:rsidRPr="00A3255F">
          <w:rPr>
            <w:rStyle w:val="Hyperlink"/>
            <w:rFonts w:ascii="Arial" w:hAnsi="Arial" w:cs="Arial"/>
          </w:rPr>
          <w:t xml:space="preserve"> WC et al. Childhood Obesity, Other Cardiovascular Risk Factors, and Premature Death. </w:t>
        </w:r>
        <w:r w:rsidRPr="00A3255F">
          <w:rPr>
            <w:rStyle w:val="Hyperlink"/>
            <w:rFonts w:ascii="Arial" w:hAnsi="Arial" w:cs="Arial"/>
            <w:i/>
          </w:rPr>
          <w:t>NEJM</w:t>
        </w:r>
        <w:r w:rsidRPr="00A3255F">
          <w:rPr>
            <w:rStyle w:val="Hyperlink"/>
            <w:rFonts w:ascii="Arial" w:hAnsi="Arial" w:cs="Arial"/>
          </w:rPr>
          <w:t>. 2010;362(6):485-93.</w:t>
        </w:r>
      </w:hyperlink>
    </w:p>
    <w:p w14:paraId="16D5B0EB" w14:textId="77777777" w:rsidR="00481940" w:rsidRPr="00FE4013" w:rsidRDefault="00481940" w:rsidP="00481940">
      <w:pPr>
        <w:rPr>
          <w:rFonts w:ascii="Arial" w:hAnsi="Arial" w:cs="Arial"/>
        </w:rPr>
      </w:pPr>
    </w:p>
    <w:p w14:paraId="1EF0D2C2" w14:textId="77777777" w:rsidR="00481940" w:rsidRPr="00FE4013" w:rsidRDefault="000302DF" w:rsidP="00481940">
      <w:pPr>
        <w:rPr>
          <w:rFonts w:ascii="Arial" w:hAnsi="Arial" w:cs="Arial"/>
        </w:rPr>
      </w:pPr>
      <w:hyperlink r:id="rId6" w:history="1">
        <w:r w:rsidR="00481940" w:rsidRPr="00A3255F">
          <w:rPr>
            <w:rStyle w:val="Hyperlink"/>
            <w:rFonts w:ascii="Arial" w:hAnsi="Arial" w:cs="Arial"/>
          </w:rPr>
          <w:t xml:space="preserve">Gregg EW. Editorial: Are Children the Future of Type 2 Diabetes Prevention? </w:t>
        </w:r>
        <w:r w:rsidR="00481940" w:rsidRPr="00A3255F">
          <w:rPr>
            <w:rStyle w:val="Hyperlink"/>
            <w:rFonts w:ascii="Arial" w:hAnsi="Arial" w:cs="Arial"/>
            <w:i/>
          </w:rPr>
          <w:t>NEJM</w:t>
        </w:r>
        <w:r w:rsidR="00481940" w:rsidRPr="00A3255F">
          <w:rPr>
            <w:rStyle w:val="Hyperlink"/>
            <w:rFonts w:ascii="Arial" w:hAnsi="Arial" w:cs="Arial"/>
          </w:rPr>
          <w:t>. 2010;362(6):548-50</w:t>
        </w:r>
      </w:hyperlink>
      <w:r w:rsidR="00481940" w:rsidRPr="00FE4013">
        <w:rPr>
          <w:rFonts w:ascii="Arial" w:hAnsi="Arial" w:cs="Arial"/>
        </w:rPr>
        <w:t>.</w:t>
      </w:r>
    </w:p>
    <w:p w14:paraId="17D21679" w14:textId="77777777" w:rsidR="00481940" w:rsidRPr="00FE4013" w:rsidRDefault="00481940" w:rsidP="00481940">
      <w:pPr>
        <w:rPr>
          <w:rFonts w:ascii="Arial" w:hAnsi="Arial" w:cs="Arial"/>
        </w:rPr>
      </w:pPr>
    </w:p>
    <w:p w14:paraId="71B4EA0F" w14:textId="77777777" w:rsidR="00481940" w:rsidRPr="00FE4013" w:rsidRDefault="000302DF" w:rsidP="00481940">
      <w:pPr>
        <w:rPr>
          <w:rFonts w:ascii="Arial" w:hAnsi="Arial" w:cs="Arial"/>
        </w:rPr>
      </w:pPr>
      <w:hyperlink r:id="rId7" w:history="1">
        <w:r w:rsidR="00481940" w:rsidRPr="00A3255F">
          <w:rPr>
            <w:rStyle w:val="Hyperlink"/>
            <w:rFonts w:ascii="Arial" w:hAnsi="Arial" w:cs="Arial"/>
          </w:rPr>
          <w:t xml:space="preserve">Letters to the Editor Re: Franks PW, Hanson RL, </w:t>
        </w:r>
        <w:proofErr w:type="spellStart"/>
        <w:r w:rsidR="00481940" w:rsidRPr="00A3255F">
          <w:rPr>
            <w:rStyle w:val="Hyperlink"/>
            <w:rFonts w:ascii="Arial" w:hAnsi="Arial" w:cs="Arial"/>
          </w:rPr>
          <w:t>Knowler</w:t>
        </w:r>
        <w:proofErr w:type="spellEnd"/>
        <w:r w:rsidR="00481940" w:rsidRPr="00A3255F">
          <w:rPr>
            <w:rStyle w:val="Hyperlink"/>
            <w:rFonts w:ascii="Arial" w:hAnsi="Arial" w:cs="Arial"/>
          </w:rPr>
          <w:t xml:space="preserve"> WC et al. Childhood Obesity, Other Cardiovascular Risk Factors, and Premature Death. </w:t>
        </w:r>
        <w:r w:rsidR="00481940" w:rsidRPr="00A3255F">
          <w:rPr>
            <w:rStyle w:val="Hyperlink"/>
            <w:rFonts w:ascii="Arial" w:hAnsi="Arial" w:cs="Arial"/>
            <w:i/>
          </w:rPr>
          <w:t>NEJM</w:t>
        </w:r>
        <w:r w:rsidR="00481940" w:rsidRPr="00A3255F">
          <w:rPr>
            <w:rStyle w:val="Hyperlink"/>
            <w:rFonts w:ascii="Arial" w:hAnsi="Arial" w:cs="Arial"/>
          </w:rPr>
          <w:t>. 2010;362(19):1841-2.</w:t>
        </w:r>
      </w:hyperlink>
    </w:p>
    <w:p w14:paraId="448433F1" w14:textId="77777777" w:rsidR="00481940" w:rsidRPr="00FE4013" w:rsidRDefault="00481940" w:rsidP="00481940">
      <w:pPr>
        <w:rPr>
          <w:rFonts w:ascii="Arial" w:hAnsi="Arial" w:cs="Arial"/>
          <w:b/>
        </w:rPr>
      </w:pPr>
    </w:p>
    <w:p w14:paraId="1EC96D02" w14:textId="77777777" w:rsidR="00481940" w:rsidRPr="00FE4013" w:rsidRDefault="00481940" w:rsidP="00481940">
      <w:pPr>
        <w:rPr>
          <w:rFonts w:ascii="Arial" w:hAnsi="Arial" w:cs="Arial"/>
          <w:b/>
        </w:rPr>
      </w:pPr>
      <w:r w:rsidRPr="00FE4013">
        <w:rPr>
          <w:rFonts w:ascii="Arial" w:hAnsi="Arial" w:cs="Arial"/>
          <w:b/>
        </w:rPr>
        <w:t xml:space="preserve">Optional Reading: </w:t>
      </w:r>
    </w:p>
    <w:p w14:paraId="3067B201" w14:textId="77777777" w:rsidR="00A35278" w:rsidRPr="00FE4013" w:rsidRDefault="000302DF" w:rsidP="00481940">
      <w:pPr>
        <w:rPr>
          <w:rFonts w:ascii="Arial" w:hAnsi="Arial" w:cs="Arial"/>
        </w:rPr>
      </w:pPr>
      <w:hyperlink r:id="rId8" w:history="1">
        <w:r w:rsidR="00481940" w:rsidRPr="00A3255F">
          <w:rPr>
            <w:rStyle w:val="Hyperlink"/>
            <w:rFonts w:ascii="Arial" w:hAnsi="Arial" w:cs="Arial"/>
          </w:rPr>
          <w:t xml:space="preserve">Rabin RC. Child Obesity Risks Death at Early Age, Study Finds. </w:t>
        </w:r>
        <w:r w:rsidR="00481940" w:rsidRPr="00A3255F">
          <w:rPr>
            <w:rStyle w:val="Hyperlink"/>
            <w:rFonts w:ascii="Arial" w:hAnsi="Arial" w:cs="Arial"/>
            <w:i/>
          </w:rPr>
          <w:t>The New York Times</w:t>
        </w:r>
        <w:r w:rsidR="00481940" w:rsidRPr="00A3255F">
          <w:rPr>
            <w:rStyle w:val="Hyperlink"/>
            <w:rFonts w:ascii="Arial" w:hAnsi="Arial" w:cs="Arial"/>
          </w:rPr>
          <w:t>. February 11, 2010; page A22.</w:t>
        </w:r>
      </w:hyperlink>
    </w:p>
    <w:p w14:paraId="1524A6C2" w14:textId="77777777" w:rsidR="00A35278" w:rsidRPr="00FE4013" w:rsidRDefault="00A35278" w:rsidP="00C80C54">
      <w:pPr>
        <w:rPr>
          <w:rFonts w:ascii="Arial" w:eastAsia="Times New Roman" w:hAnsi="Arial" w:cs="Arial"/>
        </w:rPr>
      </w:pPr>
    </w:p>
    <w:p w14:paraId="3A1E2483" w14:textId="77777777" w:rsidR="008B58EE" w:rsidRPr="00FE4013" w:rsidRDefault="008B58EE" w:rsidP="008B58E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14:paraId="316B8CBC" w14:textId="77777777" w:rsidR="008B58EE" w:rsidRDefault="00B740DE" w:rsidP="008B58EE">
      <w:pPr>
        <w:pStyle w:val="NormalWeb"/>
        <w:spacing w:before="0" w:beforeAutospacing="0" w:after="0" w:afterAutospacing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After reading the </w:t>
      </w:r>
      <w:r w:rsidRPr="00FE4013">
        <w:rPr>
          <w:rFonts w:ascii="Arial" w:hAnsi="Arial" w:cs="Arial"/>
        </w:rPr>
        <w:t>Franks et al</w:t>
      </w:r>
      <w:r>
        <w:rPr>
          <w:rFonts w:ascii="Arial" w:eastAsia="Times New Roman" w:hAnsi="Arial" w:cs="Arial"/>
        </w:rPr>
        <w:t xml:space="preserve"> article please answer the following questions:</w:t>
      </w:r>
    </w:p>
    <w:p w14:paraId="0602C54B" w14:textId="77777777" w:rsidR="00DF2A5C" w:rsidRPr="00FE4013" w:rsidRDefault="00DF2A5C" w:rsidP="008B58EE">
      <w:pPr>
        <w:pStyle w:val="NormalWeb"/>
        <w:spacing w:before="0" w:beforeAutospacing="0" w:after="0" w:afterAutospacing="0"/>
        <w:rPr>
          <w:rFonts w:ascii="Arial" w:hAnsi="Arial" w:cs="Arial"/>
          <w:b/>
          <w:szCs w:val="20"/>
        </w:rPr>
      </w:pPr>
    </w:p>
    <w:p w14:paraId="33577C2E" w14:textId="77777777" w:rsidR="003D47A7" w:rsidRPr="00FE4013" w:rsidRDefault="003D47A7" w:rsidP="00C80C54">
      <w:pPr>
        <w:rPr>
          <w:rFonts w:ascii="Arial" w:hAnsi="Arial" w:cs="Arial"/>
        </w:rPr>
      </w:pPr>
    </w:p>
    <w:p w14:paraId="3E43B173" w14:textId="77777777" w:rsidR="00C80C54" w:rsidRPr="00FE4013" w:rsidRDefault="004F1DDA" w:rsidP="00C80C54">
      <w:pPr>
        <w:rPr>
          <w:rFonts w:ascii="Arial" w:hAnsi="Arial" w:cs="Arial"/>
        </w:rPr>
      </w:pPr>
      <w:r w:rsidRPr="00FE4013">
        <w:rPr>
          <w:rFonts w:ascii="Arial" w:hAnsi="Arial" w:cs="Arial"/>
        </w:rPr>
        <w:t>D</w:t>
      </w:r>
      <w:r w:rsidR="003D47A7" w:rsidRPr="00FE4013">
        <w:rPr>
          <w:rFonts w:ascii="Arial" w:hAnsi="Arial" w:cs="Arial"/>
        </w:rPr>
        <w:t>ata</w:t>
      </w:r>
      <w:r w:rsidRPr="00FE4013">
        <w:rPr>
          <w:rFonts w:ascii="Arial" w:hAnsi="Arial" w:cs="Arial"/>
        </w:rPr>
        <w:t xml:space="preserve"> adapted from Franks et al. (</w:t>
      </w:r>
      <w:r w:rsidR="0028599C" w:rsidRPr="00FE4013">
        <w:rPr>
          <w:rFonts w:ascii="Arial" w:hAnsi="Arial" w:cs="Arial"/>
        </w:rPr>
        <w:t>*</w:t>
      </w:r>
      <w:r w:rsidRPr="00FE4013">
        <w:rPr>
          <w:rFonts w:ascii="Arial" w:hAnsi="Arial" w:cs="Arial"/>
        </w:rPr>
        <w:t>some hypothetical)</w:t>
      </w: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520"/>
      </w:tblGrid>
      <w:tr w:rsidR="00C80C54" w:rsidRPr="00FE4013" w14:paraId="05E277E3" w14:textId="77777777"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5FB6038" w14:textId="77777777" w:rsidR="00C80C54" w:rsidRPr="00FE4013" w:rsidRDefault="00C80C54" w:rsidP="003D47A7">
            <w:pPr>
              <w:rPr>
                <w:rFonts w:ascii="Arial" w:hAnsi="Arial" w:cs="Arial"/>
              </w:rPr>
            </w:pPr>
            <w:r w:rsidRPr="00FE4013">
              <w:rPr>
                <w:rFonts w:ascii="Arial" w:hAnsi="Arial" w:cs="Arial"/>
                <w:bCs/>
              </w:rPr>
              <w:t xml:space="preserve">Status </w:t>
            </w:r>
            <w:r w:rsidR="003D47A7" w:rsidRPr="00FE4013">
              <w:rPr>
                <w:rFonts w:ascii="Arial" w:hAnsi="Arial" w:cs="Arial"/>
                <w:bCs/>
              </w:rPr>
              <w:t>at Baseline</w:t>
            </w:r>
          </w:p>
        </w:tc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57A71D35" w14:textId="77777777" w:rsidR="00C80C54" w:rsidRPr="00FE4013" w:rsidRDefault="00C80C54" w:rsidP="00C80C54">
            <w:pPr>
              <w:rPr>
                <w:rFonts w:ascii="Arial" w:hAnsi="Arial" w:cs="Arial"/>
              </w:rPr>
            </w:pPr>
            <w:r w:rsidRPr="00FE4013">
              <w:rPr>
                <w:rFonts w:ascii="Arial" w:hAnsi="Arial" w:cs="Arial"/>
                <w:bCs/>
              </w:rPr>
              <w:t>Number of Participants</w:t>
            </w:r>
          </w:p>
        </w:tc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118646D" w14:textId="77777777" w:rsidR="00C80C54" w:rsidRPr="00FE4013" w:rsidRDefault="003D47A7" w:rsidP="00C80C54">
            <w:pPr>
              <w:rPr>
                <w:rFonts w:ascii="Arial" w:hAnsi="Arial" w:cs="Arial"/>
              </w:rPr>
            </w:pPr>
            <w:r w:rsidRPr="00FE4013">
              <w:rPr>
                <w:rFonts w:ascii="Arial" w:hAnsi="Arial" w:cs="Arial"/>
                <w:bCs/>
              </w:rPr>
              <w:t>Endogenous Deaths</w:t>
            </w:r>
            <w:r w:rsidR="004F1DDA" w:rsidRPr="00FE4013">
              <w:rPr>
                <w:rFonts w:ascii="Arial" w:hAnsi="Arial" w:cs="Arial"/>
                <w:bCs/>
              </w:rPr>
              <w:t xml:space="preserve"> by age 55</w:t>
            </w:r>
          </w:p>
        </w:tc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5FD19232" w14:textId="77777777" w:rsidR="00C80C54" w:rsidRPr="00FE4013" w:rsidRDefault="003D47A7" w:rsidP="00C80C54">
            <w:pPr>
              <w:rPr>
                <w:rFonts w:ascii="Arial" w:hAnsi="Arial" w:cs="Arial"/>
              </w:rPr>
            </w:pPr>
            <w:r w:rsidRPr="00FE4013">
              <w:rPr>
                <w:rFonts w:ascii="Arial" w:hAnsi="Arial" w:cs="Arial"/>
                <w:bCs/>
              </w:rPr>
              <w:t>Person-years of O</w:t>
            </w:r>
            <w:r w:rsidR="00C80C54" w:rsidRPr="00FE4013">
              <w:rPr>
                <w:rFonts w:ascii="Arial" w:hAnsi="Arial" w:cs="Arial"/>
                <w:bCs/>
              </w:rPr>
              <w:t>bservation</w:t>
            </w:r>
          </w:p>
        </w:tc>
      </w:tr>
      <w:tr w:rsidR="00C80C54" w:rsidRPr="00FE4013" w14:paraId="023BD39E" w14:textId="77777777"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5C1DEC45" w14:textId="77777777" w:rsidR="00C80C54" w:rsidRPr="00FE4013" w:rsidRDefault="004F1DDA" w:rsidP="00C80C54">
            <w:pPr>
              <w:rPr>
                <w:rFonts w:ascii="Arial" w:hAnsi="Arial" w:cs="Arial"/>
              </w:rPr>
            </w:pPr>
            <w:r w:rsidRPr="00FE4013">
              <w:rPr>
                <w:rFonts w:ascii="Arial" w:hAnsi="Arial" w:cs="Arial"/>
                <w:bCs/>
              </w:rPr>
              <w:t>Obese</w:t>
            </w:r>
          </w:p>
        </w:tc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02FE04BD" w14:textId="77777777" w:rsidR="00C80C54" w:rsidRPr="00FE4013" w:rsidRDefault="004F1DDA" w:rsidP="00C80C54">
            <w:pPr>
              <w:rPr>
                <w:rFonts w:ascii="Arial" w:hAnsi="Arial" w:cs="Arial"/>
              </w:rPr>
            </w:pPr>
            <w:r w:rsidRPr="00FE4013">
              <w:rPr>
                <w:rFonts w:ascii="Arial" w:hAnsi="Arial" w:cs="Arial"/>
              </w:rPr>
              <w:t xml:space="preserve">1,394 </w:t>
            </w:r>
          </w:p>
        </w:tc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660868D3" w14:textId="77777777" w:rsidR="00C80C54" w:rsidRPr="00FE4013" w:rsidRDefault="000E216E" w:rsidP="00C80C54">
            <w:pPr>
              <w:rPr>
                <w:rFonts w:ascii="Arial" w:hAnsi="Arial" w:cs="Arial"/>
              </w:rPr>
            </w:pPr>
            <w:r w:rsidRPr="00FE4013">
              <w:rPr>
                <w:rFonts w:ascii="Arial" w:hAnsi="Arial" w:cs="Arial"/>
              </w:rPr>
              <w:t>65*</w:t>
            </w:r>
          </w:p>
        </w:tc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6BAA6043" w14:textId="77777777" w:rsidR="00C80C54" w:rsidRPr="00FE4013" w:rsidRDefault="004F1DDA" w:rsidP="00C80C54">
            <w:pPr>
              <w:rPr>
                <w:rFonts w:ascii="Arial" w:hAnsi="Arial" w:cs="Arial"/>
              </w:rPr>
            </w:pPr>
            <w:r w:rsidRPr="00FE4013">
              <w:rPr>
                <w:rFonts w:ascii="Arial" w:hAnsi="Arial" w:cs="Arial"/>
              </w:rPr>
              <w:t>30,316</w:t>
            </w:r>
            <w:r w:rsidR="000E216E" w:rsidRPr="00FE4013">
              <w:rPr>
                <w:rFonts w:ascii="Arial" w:hAnsi="Arial" w:cs="Arial"/>
              </w:rPr>
              <w:t>*</w:t>
            </w:r>
          </w:p>
        </w:tc>
      </w:tr>
      <w:tr w:rsidR="003D47A7" w:rsidRPr="00FE4013" w14:paraId="5F62061F" w14:textId="77777777"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C320FD1" w14:textId="77777777" w:rsidR="003D47A7" w:rsidRPr="00FE4013" w:rsidRDefault="004F1DDA" w:rsidP="00C80C54">
            <w:pPr>
              <w:rPr>
                <w:rFonts w:ascii="Arial" w:hAnsi="Arial" w:cs="Arial"/>
              </w:rPr>
            </w:pPr>
            <w:r w:rsidRPr="00FE4013">
              <w:rPr>
                <w:rFonts w:ascii="Arial" w:hAnsi="Arial" w:cs="Arial"/>
                <w:bCs/>
              </w:rPr>
              <w:t>Non-obese</w:t>
            </w:r>
          </w:p>
        </w:tc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3795A057" w14:textId="77777777" w:rsidR="003D47A7" w:rsidRPr="00FE4013" w:rsidRDefault="004F1DDA" w:rsidP="00C80C54">
            <w:pPr>
              <w:rPr>
                <w:rFonts w:ascii="Arial" w:hAnsi="Arial" w:cs="Arial"/>
              </w:rPr>
            </w:pPr>
            <w:r w:rsidRPr="00FE4013">
              <w:rPr>
                <w:rFonts w:ascii="Arial" w:hAnsi="Arial" w:cs="Arial"/>
              </w:rPr>
              <w:t>3,463</w:t>
            </w:r>
          </w:p>
        </w:tc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02350B2B" w14:textId="77777777" w:rsidR="003D47A7" w:rsidRPr="00FE4013" w:rsidRDefault="000E216E" w:rsidP="00C80C54">
            <w:pPr>
              <w:rPr>
                <w:rFonts w:ascii="Arial" w:hAnsi="Arial" w:cs="Arial"/>
              </w:rPr>
            </w:pPr>
            <w:r w:rsidRPr="00FE4013">
              <w:rPr>
                <w:rFonts w:ascii="Arial" w:hAnsi="Arial" w:cs="Arial"/>
              </w:rPr>
              <w:t>101*</w:t>
            </w:r>
          </w:p>
        </w:tc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7FA10C4" w14:textId="77777777" w:rsidR="003D47A7" w:rsidRPr="00FE4013" w:rsidRDefault="004F1DDA" w:rsidP="00C80C54">
            <w:pPr>
              <w:rPr>
                <w:rFonts w:ascii="Arial" w:hAnsi="Arial" w:cs="Arial"/>
              </w:rPr>
            </w:pPr>
            <w:r w:rsidRPr="00FE4013">
              <w:rPr>
                <w:rFonts w:ascii="Arial" w:hAnsi="Arial" w:cs="Arial"/>
              </w:rPr>
              <w:t>85,794</w:t>
            </w:r>
            <w:r w:rsidR="000E216E" w:rsidRPr="00FE4013">
              <w:rPr>
                <w:rFonts w:ascii="Arial" w:hAnsi="Arial" w:cs="Arial"/>
              </w:rPr>
              <w:t>*</w:t>
            </w:r>
          </w:p>
        </w:tc>
      </w:tr>
      <w:tr w:rsidR="003D47A7" w:rsidRPr="00FE4013" w14:paraId="058A7D20" w14:textId="77777777"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E91B8B7" w14:textId="77777777" w:rsidR="003D47A7" w:rsidRPr="00FE4013" w:rsidRDefault="003D47A7" w:rsidP="00C80C54">
            <w:pPr>
              <w:rPr>
                <w:rFonts w:ascii="Arial" w:hAnsi="Arial" w:cs="Arial"/>
                <w:bCs/>
              </w:rPr>
            </w:pPr>
            <w:r w:rsidRPr="00FE4013">
              <w:rPr>
                <w:rFonts w:ascii="Arial" w:hAnsi="Arial" w:cs="Arial"/>
                <w:bCs/>
              </w:rPr>
              <w:t>Total</w:t>
            </w:r>
          </w:p>
        </w:tc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47681C12" w14:textId="77777777" w:rsidR="003D47A7" w:rsidRPr="00FE4013" w:rsidRDefault="004F1DDA" w:rsidP="00C80C54">
            <w:pPr>
              <w:rPr>
                <w:rFonts w:ascii="Arial" w:hAnsi="Arial" w:cs="Arial"/>
                <w:bCs/>
              </w:rPr>
            </w:pPr>
            <w:r w:rsidRPr="00FE4013">
              <w:rPr>
                <w:rFonts w:ascii="Arial" w:hAnsi="Arial" w:cs="Arial"/>
                <w:bCs/>
              </w:rPr>
              <w:t>4,857</w:t>
            </w:r>
          </w:p>
        </w:tc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0009C558" w14:textId="77777777" w:rsidR="003D47A7" w:rsidRPr="00FE4013" w:rsidRDefault="003D47A7" w:rsidP="00C80C54">
            <w:pPr>
              <w:rPr>
                <w:rFonts w:ascii="Arial" w:hAnsi="Arial" w:cs="Arial"/>
                <w:bCs/>
              </w:rPr>
            </w:pPr>
            <w:r w:rsidRPr="00FE4013">
              <w:rPr>
                <w:rFonts w:ascii="Arial" w:hAnsi="Arial" w:cs="Arial"/>
                <w:bCs/>
              </w:rPr>
              <w:t>166</w:t>
            </w:r>
          </w:p>
        </w:tc>
        <w:tc>
          <w:tcPr>
            <w:tcW w:w="252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bottom"/>
          </w:tcPr>
          <w:p w14:paraId="11E47C8A" w14:textId="77777777" w:rsidR="003D47A7" w:rsidRPr="00FE4013" w:rsidRDefault="004F1DDA" w:rsidP="00C80C54">
            <w:pPr>
              <w:rPr>
                <w:rFonts w:ascii="Arial" w:hAnsi="Arial" w:cs="Arial"/>
                <w:bCs/>
              </w:rPr>
            </w:pPr>
            <w:r w:rsidRPr="00FE4013">
              <w:rPr>
                <w:rFonts w:ascii="Arial" w:hAnsi="Arial" w:cs="Arial"/>
                <w:bCs/>
              </w:rPr>
              <w:t>116,110</w:t>
            </w:r>
          </w:p>
        </w:tc>
      </w:tr>
    </w:tbl>
    <w:p w14:paraId="2CEEDE3B" w14:textId="77777777" w:rsidR="00C80C54" w:rsidRPr="00FE4013" w:rsidRDefault="00C80C54" w:rsidP="00C80C54">
      <w:pPr>
        <w:rPr>
          <w:rFonts w:ascii="Arial" w:hAnsi="Arial" w:cs="Arial"/>
        </w:rPr>
      </w:pPr>
    </w:p>
    <w:p w14:paraId="62D04827" w14:textId="77777777" w:rsidR="00C80C54" w:rsidRPr="00FE4013" w:rsidRDefault="00C80C54" w:rsidP="00C80C54">
      <w:pPr>
        <w:rPr>
          <w:rFonts w:ascii="Arial" w:hAnsi="Arial" w:cs="Arial"/>
        </w:rPr>
      </w:pPr>
      <w:r w:rsidRPr="00FE4013">
        <w:rPr>
          <w:rFonts w:ascii="Arial" w:hAnsi="Arial" w:cs="Arial"/>
        </w:rPr>
        <w:t>1. Based on the table above, calculate the following</w:t>
      </w:r>
      <w:r w:rsidR="00A22482" w:rsidRPr="00FE4013">
        <w:rPr>
          <w:rFonts w:ascii="Arial" w:hAnsi="Arial" w:cs="Arial"/>
        </w:rPr>
        <w:t xml:space="preserve"> and interpret in words</w:t>
      </w:r>
      <w:r w:rsidR="008B3B4D" w:rsidRPr="00FE4013">
        <w:rPr>
          <w:rFonts w:ascii="Arial" w:hAnsi="Arial" w:cs="Arial"/>
        </w:rPr>
        <w:t xml:space="preserve"> (please show your work)</w:t>
      </w:r>
      <w:r w:rsidRPr="00FE4013">
        <w:rPr>
          <w:rFonts w:ascii="Arial" w:hAnsi="Arial" w:cs="Arial"/>
        </w:rPr>
        <w:t>:</w:t>
      </w:r>
    </w:p>
    <w:p w14:paraId="6B6CFC2C" w14:textId="636F6EE7" w:rsidR="00C80C54" w:rsidRDefault="00C80C54" w:rsidP="003D47A7">
      <w:pPr>
        <w:pStyle w:val="ListParagraph"/>
        <w:numPr>
          <w:ilvl w:val="0"/>
          <w:numId w:val="3"/>
        </w:numPr>
        <w:ind w:left="540" w:hanging="270"/>
        <w:rPr>
          <w:rFonts w:ascii="Arial" w:hAnsi="Arial" w:cs="Arial"/>
        </w:rPr>
      </w:pPr>
      <w:r w:rsidRPr="00FE4013">
        <w:rPr>
          <w:rFonts w:ascii="Arial" w:hAnsi="Arial" w:cs="Arial"/>
        </w:rPr>
        <w:t xml:space="preserve">the </w:t>
      </w:r>
      <w:r w:rsidRPr="00A9355D">
        <w:rPr>
          <w:rFonts w:ascii="Arial" w:hAnsi="Arial" w:cs="Arial"/>
          <w:b/>
        </w:rPr>
        <w:t xml:space="preserve">risk </w:t>
      </w:r>
      <w:r w:rsidRPr="00FE4013">
        <w:rPr>
          <w:rFonts w:ascii="Arial" w:hAnsi="Arial" w:cs="Arial"/>
        </w:rPr>
        <w:t xml:space="preserve">of </w:t>
      </w:r>
      <w:r w:rsidR="0028599C" w:rsidRPr="00FE4013">
        <w:rPr>
          <w:rFonts w:ascii="Arial" w:hAnsi="Arial" w:cs="Arial"/>
        </w:rPr>
        <w:t xml:space="preserve">endogenous death by age 55 in obese </w:t>
      </w:r>
      <w:r w:rsidR="00E10885" w:rsidRPr="00FE4013">
        <w:rPr>
          <w:rFonts w:ascii="Arial" w:hAnsi="Arial" w:cs="Arial"/>
        </w:rPr>
        <w:t>children</w:t>
      </w:r>
      <w:r w:rsidR="0028599C" w:rsidRPr="00FE4013">
        <w:rPr>
          <w:rFonts w:ascii="Arial" w:hAnsi="Arial" w:cs="Arial"/>
        </w:rPr>
        <w:t xml:space="preserve"> and in non-obese </w:t>
      </w:r>
      <w:r w:rsidR="00E10885" w:rsidRPr="00FE4013">
        <w:rPr>
          <w:rFonts w:ascii="Arial" w:hAnsi="Arial" w:cs="Arial"/>
        </w:rPr>
        <w:t>children</w:t>
      </w:r>
      <w:r w:rsidR="0028599C" w:rsidRPr="00FE4013">
        <w:rPr>
          <w:rFonts w:ascii="Arial" w:hAnsi="Arial" w:cs="Arial"/>
        </w:rPr>
        <w:t>;</w:t>
      </w:r>
    </w:p>
    <w:p w14:paraId="7444DCFC" w14:textId="77777777" w:rsidR="005D32E0" w:rsidRDefault="005D32E0" w:rsidP="005D32E0">
      <w:pPr>
        <w:rPr>
          <w:rFonts w:ascii="Arial" w:hAnsi="Arial" w:cs="Arial"/>
        </w:rPr>
      </w:pPr>
    </w:p>
    <w:p w14:paraId="375394A3" w14:textId="0CA65373" w:rsidR="005271A3" w:rsidRPr="000302DF" w:rsidRDefault="005271A3" w:rsidP="005D32E0">
      <w:pPr>
        <w:rPr>
          <w:rFonts w:ascii="Arial" w:hAnsi="Arial" w:cs="Arial"/>
          <w:i/>
        </w:rPr>
      </w:pPr>
      <w:r w:rsidRPr="000302DF">
        <w:rPr>
          <w:rFonts w:ascii="Arial" w:hAnsi="Arial" w:cs="Arial"/>
          <w:i/>
        </w:rPr>
        <w:t xml:space="preserve">obese risk= </w:t>
      </w:r>
      <w:r w:rsidR="005D32E0" w:rsidRPr="000302DF">
        <w:rPr>
          <w:rFonts w:ascii="Arial" w:hAnsi="Arial" w:cs="Arial"/>
          <w:i/>
        </w:rPr>
        <w:t>65/1394=</w:t>
      </w:r>
      <w:r w:rsidRPr="000302DF">
        <w:rPr>
          <w:rFonts w:ascii="Arial" w:hAnsi="Arial" w:cs="Arial"/>
          <w:i/>
        </w:rPr>
        <w:t>.046*100=4.6 endogenous deaths by age 55 per 100 children</w:t>
      </w:r>
    </w:p>
    <w:p w14:paraId="78498C3E" w14:textId="389610FF" w:rsidR="005D32E0" w:rsidRPr="000302DF" w:rsidRDefault="005D32E0" w:rsidP="005D32E0">
      <w:pPr>
        <w:rPr>
          <w:rFonts w:ascii="Arial" w:hAnsi="Arial" w:cs="Arial"/>
          <w:i/>
        </w:rPr>
      </w:pPr>
    </w:p>
    <w:p w14:paraId="7016E4D2" w14:textId="0864B632" w:rsidR="005D32E0" w:rsidRPr="000302DF" w:rsidRDefault="005271A3" w:rsidP="005D32E0">
      <w:pPr>
        <w:rPr>
          <w:rFonts w:ascii="Arial" w:hAnsi="Arial" w:cs="Arial"/>
          <w:i/>
        </w:rPr>
      </w:pPr>
      <w:r w:rsidRPr="000302DF">
        <w:rPr>
          <w:rFonts w:ascii="Arial" w:hAnsi="Arial" w:cs="Arial"/>
          <w:i/>
        </w:rPr>
        <w:t>non-obese risk=</w:t>
      </w:r>
      <w:r w:rsidR="005D32E0" w:rsidRPr="000302DF">
        <w:rPr>
          <w:rFonts w:ascii="Arial" w:hAnsi="Arial" w:cs="Arial"/>
          <w:i/>
        </w:rPr>
        <w:t>101/3463=</w:t>
      </w:r>
      <w:r w:rsidRPr="000302DF">
        <w:rPr>
          <w:rFonts w:ascii="Arial" w:hAnsi="Arial" w:cs="Arial"/>
          <w:i/>
        </w:rPr>
        <w:t xml:space="preserve">.029*100=2.9 </w:t>
      </w:r>
      <w:r w:rsidRPr="000302DF">
        <w:rPr>
          <w:rFonts w:ascii="Arial" w:hAnsi="Arial" w:cs="Arial"/>
          <w:i/>
        </w:rPr>
        <w:t xml:space="preserve">endogenous deaths by age </w:t>
      </w:r>
      <w:proofErr w:type="gramStart"/>
      <w:r w:rsidRPr="000302DF">
        <w:rPr>
          <w:rFonts w:ascii="Arial" w:hAnsi="Arial" w:cs="Arial"/>
          <w:i/>
        </w:rPr>
        <w:t xml:space="preserve">55 </w:t>
      </w:r>
      <w:r w:rsidRPr="000302DF">
        <w:rPr>
          <w:rFonts w:ascii="Arial" w:hAnsi="Arial" w:cs="Arial"/>
          <w:i/>
        </w:rPr>
        <w:t xml:space="preserve"> per</w:t>
      </w:r>
      <w:proofErr w:type="gramEnd"/>
      <w:r w:rsidRPr="000302DF">
        <w:rPr>
          <w:rFonts w:ascii="Arial" w:hAnsi="Arial" w:cs="Arial"/>
          <w:i/>
        </w:rPr>
        <w:t xml:space="preserve"> 100 children</w:t>
      </w:r>
    </w:p>
    <w:p w14:paraId="5B2844E3" w14:textId="32E78EDC" w:rsidR="005D32E0" w:rsidRDefault="005D32E0" w:rsidP="005D32E0">
      <w:pPr>
        <w:rPr>
          <w:rFonts w:ascii="Arial" w:hAnsi="Arial" w:cs="Arial"/>
        </w:rPr>
      </w:pPr>
    </w:p>
    <w:p w14:paraId="786051F4" w14:textId="77777777" w:rsidR="005D32E0" w:rsidRPr="005D32E0" w:rsidRDefault="005D32E0" w:rsidP="005D32E0">
      <w:pPr>
        <w:rPr>
          <w:rFonts w:ascii="Arial" w:hAnsi="Arial" w:cs="Arial"/>
        </w:rPr>
      </w:pPr>
    </w:p>
    <w:p w14:paraId="4F13156D" w14:textId="77777777" w:rsidR="000165C2" w:rsidRPr="00FE4013" w:rsidRDefault="000165C2" w:rsidP="003D47A7">
      <w:pPr>
        <w:pStyle w:val="ListParagraph"/>
        <w:numPr>
          <w:ilvl w:val="0"/>
          <w:numId w:val="3"/>
        </w:numPr>
        <w:ind w:left="540" w:hanging="270"/>
        <w:rPr>
          <w:rFonts w:ascii="Arial" w:hAnsi="Arial" w:cs="Arial"/>
        </w:rPr>
      </w:pPr>
      <w:r w:rsidRPr="00FE4013">
        <w:rPr>
          <w:rFonts w:ascii="Arial" w:hAnsi="Arial" w:cs="Arial"/>
        </w:rPr>
        <w:t xml:space="preserve">the </w:t>
      </w:r>
      <w:r w:rsidRPr="00A9355D">
        <w:rPr>
          <w:rFonts w:ascii="Arial" w:hAnsi="Arial" w:cs="Arial"/>
          <w:b/>
        </w:rPr>
        <w:t>rate</w:t>
      </w:r>
      <w:r w:rsidRPr="00FE4013">
        <w:rPr>
          <w:rFonts w:ascii="Arial" w:hAnsi="Arial" w:cs="Arial"/>
        </w:rPr>
        <w:t xml:space="preserve"> of endogenous death by age 55 in obese children and in non-obese children;</w:t>
      </w:r>
    </w:p>
    <w:p w14:paraId="2A29D0BD" w14:textId="49B82903" w:rsidR="006E28E0" w:rsidRDefault="006E28E0" w:rsidP="00C80C54">
      <w:pPr>
        <w:rPr>
          <w:rFonts w:ascii="Arial" w:hAnsi="Arial" w:cs="Arial"/>
        </w:rPr>
      </w:pPr>
      <w:bookmarkStart w:id="0" w:name="_GoBack"/>
      <w:bookmarkEnd w:id="0"/>
    </w:p>
    <w:p w14:paraId="390A3FCB" w14:textId="593E1135" w:rsidR="005D32E0" w:rsidRDefault="005D32E0" w:rsidP="00C80C54">
      <w:pPr>
        <w:rPr>
          <w:rFonts w:ascii="Arial" w:hAnsi="Arial" w:cs="Arial"/>
        </w:rPr>
      </w:pPr>
    </w:p>
    <w:p w14:paraId="3D26FC84" w14:textId="587C1564" w:rsidR="005D32E0" w:rsidRPr="000302DF" w:rsidRDefault="005271A3" w:rsidP="00C80C54">
      <w:pPr>
        <w:rPr>
          <w:rFonts w:ascii="Arial" w:hAnsi="Arial" w:cs="Arial"/>
          <w:i/>
        </w:rPr>
      </w:pPr>
      <w:r w:rsidRPr="000302DF">
        <w:rPr>
          <w:rFonts w:ascii="Arial" w:hAnsi="Arial" w:cs="Arial"/>
          <w:i/>
        </w:rPr>
        <w:t xml:space="preserve">obese rate= </w:t>
      </w:r>
      <w:r w:rsidR="005D32E0" w:rsidRPr="000302DF">
        <w:rPr>
          <w:rFonts w:ascii="Arial" w:hAnsi="Arial" w:cs="Arial"/>
          <w:i/>
        </w:rPr>
        <w:t>65/30316=</w:t>
      </w:r>
      <w:r w:rsidRPr="000302DF">
        <w:rPr>
          <w:rFonts w:ascii="Arial" w:hAnsi="Arial" w:cs="Arial"/>
          <w:i/>
        </w:rPr>
        <w:t xml:space="preserve">.002*1000=2 </w:t>
      </w:r>
      <w:r w:rsidRPr="000302DF">
        <w:rPr>
          <w:rFonts w:ascii="Arial" w:hAnsi="Arial" w:cs="Arial"/>
          <w:i/>
        </w:rPr>
        <w:t>endogenous deaths</w:t>
      </w:r>
      <w:r w:rsidR="00BB578A" w:rsidRPr="000302DF">
        <w:rPr>
          <w:rFonts w:ascii="Arial" w:hAnsi="Arial" w:cs="Arial"/>
          <w:i/>
        </w:rPr>
        <w:t xml:space="preserve"> </w:t>
      </w:r>
      <w:r w:rsidRPr="000302DF">
        <w:rPr>
          <w:rFonts w:ascii="Arial" w:hAnsi="Arial" w:cs="Arial"/>
          <w:i/>
        </w:rPr>
        <w:t xml:space="preserve">per </w:t>
      </w:r>
      <w:proofErr w:type="gramStart"/>
      <w:r w:rsidRPr="000302DF">
        <w:rPr>
          <w:rFonts w:ascii="Arial" w:hAnsi="Arial" w:cs="Arial"/>
          <w:i/>
        </w:rPr>
        <w:t>1000 person</w:t>
      </w:r>
      <w:proofErr w:type="gramEnd"/>
      <w:r w:rsidRPr="000302DF">
        <w:rPr>
          <w:rFonts w:ascii="Arial" w:hAnsi="Arial" w:cs="Arial"/>
          <w:i/>
        </w:rPr>
        <w:t xml:space="preserve"> years</w:t>
      </w:r>
    </w:p>
    <w:p w14:paraId="0D6BD643" w14:textId="7D078BA9" w:rsidR="005D32E0" w:rsidRPr="000302DF" w:rsidRDefault="005D32E0" w:rsidP="00C80C54">
      <w:pPr>
        <w:rPr>
          <w:rFonts w:ascii="Arial" w:hAnsi="Arial" w:cs="Arial"/>
          <w:i/>
        </w:rPr>
      </w:pPr>
    </w:p>
    <w:p w14:paraId="2585C73F" w14:textId="3D820495" w:rsidR="005D32E0" w:rsidRPr="000302DF" w:rsidRDefault="005271A3" w:rsidP="00C80C54">
      <w:pPr>
        <w:rPr>
          <w:rFonts w:ascii="Arial" w:hAnsi="Arial" w:cs="Arial"/>
          <w:i/>
        </w:rPr>
      </w:pPr>
      <w:r w:rsidRPr="000302DF">
        <w:rPr>
          <w:rFonts w:ascii="Arial" w:hAnsi="Arial" w:cs="Arial"/>
          <w:i/>
        </w:rPr>
        <w:t>non-obese rate=</w:t>
      </w:r>
      <w:r w:rsidR="005D32E0" w:rsidRPr="000302DF">
        <w:rPr>
          <w:rFonts w:ascii="Arial" w:hAnsi="Arial" w:cs="Arial"/>
          <w:i/>
        </w:rPr>
        <w:t>101/85794=</w:t>
      </w:r>
      <w:r w:rsidRPr="000302DF">
        <w:rPr>
          <w:rFonts w:ascii="Arial" w:hAnsi="Arial" w:cs="Arial"/>
          <w:i/>
        </w:rPr>
        <w:t xml:space="preserve">.001*1000= 1 </w:t>
      </w:r>
      <w:r w:rsidRPr="000302DF">
        <w:rPr>
          <w:rFonts w:ascii="Arial" w:hAnsi="Arial" w:cs="Arial"/>
          <w:i/>
        </w:rPr>
        <w:t>endogenous death</w:t>
      </w:r>
      <w:r w:rsidR="00BB578A" w:rsidRPr="000302DF">
        <w:rPr>
          <w:rFonts w:ascii="Arial" w:hAnsi="Arial" w:cs="Arial"/>
          <w:i/>
        </w:rPr>
        <w:t xml:space="preserve"> </w:t>
      </w:r>
      <w:r w:rsidRPr="000302DF">
        <w:rPr>
          <w:rFonts w:ascii="Arial" w:hAnsi="Arial" w:cs="Arial"/>
          <w:i/>
        </w:rPr>
        <w:t xml:space="preserve">per </w:t>
      </w:r>
      <w:proofErr w:type="gramStart"/>
      <w:r w:rsidRPr="000302DF">
        <w:rPr>
          <w:rFonts w:ascii="Arial" w:hAnsi="Arial" w:cs="Arial"/>
          <w:i/>
        </w:rPr>
        <w:t>1000 person</w:t>
      </w:r>
      <w:proofErr w:type="gramEnd"/>
      <w:r w:rsidR="007C4C48" w:rsidRPr="000302DF">
        <w:rPr>
          <w:rFonts w:ascii="Arial" w:hAnsi="Arial" w:cs="Arial"/>
          <w:i/>
        </w:rPr>
        <w:t xml:space="preserve"> years</w:t>
      </w:r>
    </w:p>
    <w:p w14:paraId="2139A9D8" w14:textId="77777777" w:rsidR="00040589" w:rsidRPr="000302DF" w:rsidRDefault="00DB396C" w:rsidP="005A6AEE">
      <w:pPr>
        <w:rPr>
          <w:rFonts w:ascii="Arial" w:hAnsi="Arial" w:cs="Arial"/>
          <w:i/>
        </w:rPr>
      </w:pPr>
      <w:r w:rsidRPr="000302DF">
        <w:rPr>
          <w:rFonts w:ascii="Arial" w:hAnsi="Arial" w:cs="Arial"/>
          <w:i/>
        </w:rPr>
        <w:t xml:space="preserve"> </w:t>
      </w:r>
    </w:p>
    <w:p w14:paraId="3C358C60" w14:textId="77777777" w:rsidR="00040589" w:rsidRPr="00FE4013" w:rsidRDefault="00040589" w:rsidP="005A6AEE">
      <w:pPr>
        <w:rPr>
          <w:rFonts w:ascii="Arial" w:hAnsi="Arial" w:cs="Arial"/>
          <w:i/>
        </w:rPr>
      </w:pPr>
    </w:p>
    <w:p w14:paraId="6D570E99" w14:textId="77777777" w:rsidR="00DF2A5C" w:rsidRDefault="00DF2A5C" w:rsidP="00DF2A5C">
      <w:pPr>
        <w:tabs>
          <w:tab w:val="left" w:pos="360"/>
          <w:tab w:val="left" w:pos="810"/>
        </w:tabs>
        <w:ind w:left="360" w:hanging="360"/>
        <w:rPr>
          <w:rFonts w:ascii="Calibri Light" w:hAnsi="Calibri Light" w:cs="Arial"/>
        </w:rPr>
      </w:pPr>
    </w:p>
    <w:p w14:paraId="3FD7E79D" w14:textId="77777777" w:rsidR="00DF2A5C" w:rsidRPr="003D472D" w:rsidRDefault="00DF2A5C" w:rsidP="00DF2A5C">
      <w:pPr>
        <w:pStyle w:val="NormalWeb"/>
        <w:spacing w:before="0" w:beforeAutospacing="0" w:after="0" w:afterAutospacing="0"/>
        <w:rPr>
          <w:rFonts w:ascii="Arial" w:hAnsi="Arial" w:cs="Arial"/>
          <w:b/>
          <w:sz w:val="32"/>
          <w:szCs w:val="32"/>
          <w:u w:val="single"/>
        </w:rPr>
      </w:pPr>
      <w:r w:rsidRPr="003D472D">
        <w:rPr>
          <w:rFonts w:ascii="Arial" w:hAnsi="Arial" w:cs="Arial"/>
          <w:b/>
          <w:sz w:val="32"/>
          <w:szCs w:val="32"/>
          <w:u w:val="single"/>
        </w:rPr>
        <w:t>In-Class Group Work</w:t>
      </w:r>
    </w:p>
    <w:p w14:paraId="58DD3864" w14:textId="77777777" w:rsidR="00DF2A5C" w:rsidRDefault="00DF2A5C" w:rsidP="00DF2A5C">
      <w:pPr>
        <w:tabs>
          <w:tab w:val="left" w:pos="360"/>
          <w:tab w:val="left" w:pos="810"/>
        </w:tabs>
        <w:ind w:left="360" w:hanging="36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Please complete the </w:t>
      </w:r>
      <w:proofErr w:type="gramStart"/>
      <w:r>
        <w:rPr>
          <w:rFonts w:ascii="Arial" w:hAnsi="Arial" w:cs="Arial"/>
          <w:i/>
          <w:sz w:val="22"/>
          <w:szCs w:val="22"/>
        </w:rPr>
        <w:t>following  part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 </w:t>
      </w:r>
      <w:r w:rsidRPr="00E94983">
        <w:rPr>
          <w:rFonts w:ascii="Arial" w:hAnsi="Arial" w:cs="Arial"/>
          <w:b/>
          <w:i/>
          <w:sz w:val="22"/>
          <w:szCs w:val="22"/>
          <w:u w:val="single"/>
        </w:rPr>
        <w:t>DURING</w:t>
      </w:r>
      <w:r>
        <w:rPr>
          <w:rFonts w:ascii="Arial" w:hAnsi="Arial" w:cs="Arial"/>
          <w:i/>
          <w:sz w:val="22"/>
          <w:szCs w:val="22"/>
        </w:rPr>
        <w:t xml:space="preserve"> lab. </w:t>
      </w:r>
    </w:p>
    <w:p w14:paraId="39C943AC" w14:textId="77777777" w:rsidR="00C80C54" w:rsidRDefault="00C80C54" w:rsidP="00C80C54">
      <w:pPr>
        <w:rPr>
          <w:rFonts w:ascii="Arial" w:hAnsi="Arial" w:cs="Arial"/>
        </w:rPr>
      </w:pPr>
    </w:p>
    <w:p w14:paraId="7935F42C" w14:textId="77777777" w:rsidR="00DF2A5C" w:rsidRPr="00FE4013" w:rsidRDefault="00DF2A5C" w:rsidP="00C80C54">
      <w:pPr>
        <w:rPr>
          <w:rFonts w:ascii="Arial" w:hAnsi="Arial" w:cs="Arial"/>
        </w:rPr>
      </w:pPr>
    </w:p>
    <w:p w14:paraId="25E54242" w14:textId="77777777" w:rsidR="00C80C54" w:rsidRPr="00FE4013" w:rsidRDefault="00510399" w:rsidP="00C80C54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80C54" w:rsidRPr="00FE4013">
        <w:rPr>
          <w:rFonts w:ascii="Arial" w:hAnsi="Arial" w:cs="Arial"/>
        </w:rPr>
        <w:t xml:space="preserve">. There are </w:t>
      </w:r>
      <w:r w:rsidR="00652FA1" w:rsidRPr="00FE4013">
        <w:rPr>
          <w:rFonts w:ascii="Arial" w:hAnsi="Arial" w:cs="Arial"/>
        </w:rPr>
        <w:t>different</w:t>
      </w:r>
      <w:r w:rsidR="00C80C54" w:rsidRPr="00FE4013">
        <w:rPr>
          <w:rFonts w:ascii="Arial" w:hAnsi="Arial" w:cs="Arial"/>
        </w:rPr>
        <w:t xml:space="preserve"> ways of i</w:t>
      </w:r>
      <w:r w:rsidR="00A22482" w:rsidRPr="00FE4013">
        <w:rPr>
          <w:rFonts w:ascii="Arial" w:hAnsi="Arial" w:cs="Arial"/>
        </w:rPr>
        <w:t>ntervening to prevent obesity</w:t>
      </w:r>
      <w:r w:rsidR="00C80C54" w:rsidRPr="00FE4013">
        <w:rPr>
          <w:rFonts w:ascii="Arial" w:hAnsi="Arial" w:cs="Arial"/>
        </w:rPr>
        <w:t xml:space="preserve"> in </w:t>
      </w:r>
      <w:r w:rsidR="00E10885" w:rsidRPr="00FE4013">
        <w:rPr>
          <w:rFonts w:ascii="Arial" w:hAnsi="Arial" w:cs="Arial"/>
        </w:rPr>
        <w:t>children</w:t>
      </w:r>
      <w:r w:rsidR="00C80C54" w:rsidRPr="00FE4013">
        <w:rPr>
          <w:rFonts w:ascii="Arial" w:hAnsi="Arial" w:cs="Arial"/>
        </w:rPr>
        <w:t xml:space="preserve">, i.e., </w:t>
      </w:r>
      <w:r w:rsidR="00652FA1" w:rsidRPr="00FE4013">
        <w:rPr>
          <w:rFonts w:ascii="Arial" w:hAnsi="Arial" w:cs="Arial"/>
        </w:rPr>
        <w:t xml:space="preserve">such as </w:t>
      </w:r>
      <w:r w:rsidR="00C80C54" w:rsidRPr="00FE4013">
        <w:rPr>
          <w:rFonts w:ascii="Arial" w:hAnsi="Arial" w:cs="Arial"/>
        </w:rPr>
        <w:t>clinical intervention and public health intervention.  What is the difference between a clinical and public health intervention?</w:t>
      </w:r>
    </w:p>
    <w:p w14:paraId="672BA4A2" w14:textId="77777777" w:rsidR="00CC2186" w:rsidRPr="00FE4013" w:rsidRDefault="00CC2186" w:rsidP="00C80C54">
      <w:pPr>
        <w:rPr>
          <w:rFonts w:ascii="Arial" w:hAnsi="Arial" w:cs="Arial"/>
        </w:rPr>
      </w:pPr>
    </w:p>
    <w:p w14:paraId="1057BFB5" w14:textId="77777777" w:rsidR="00CC2186" w:rsidRDefault="00DB396C" w:rsidP="00C80C5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p w14:paraId="116248F7" w14:textId="77777777" w:rsidR="00244514" w:rsidRPr="00FE4013" w:rsidRDefault="00244514" w:rsidP="00C80C54">
      <w:pPr>
        <w:rPr>
          <w:rFonts w:ascii="Arial" w:hAnsi="Arial" w:cs="Arial"/>
          <w:i/>
        </w:rPr>
      </w:pPr>
    </w:p>
    <w:p w14:paraId="0295E6C7" w14:textId="77777777" w:rsidR="00A22482" w:rsidRPr="00FE4013" w:rsidRDefault="00510399" w:rsidP="00C80C54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C80C54" w:rsidRPr="00FE4013">
        <w:rPr>
          <w:rFonts w:ascii="Arial" w:hAnsi="Arial" w:cs="Arial"/>
        </w:rPr>
        <w:t xml:space="preserve">. Discuss potential difficulties associated with both clinical and public health approaches to the problem of </w:t>
      </w:r>
      <w:r w:rsidR="003A59DB" w:rsidRPr="00FE4013">
        <w:rPr>
          <w:rFonts w:ascii="Arial" w:hAnsi="Arial" w:cs="Arial"/>
        </w:rPr>
        <w:t xml:space="preserve">childhood </w:t>
      </w:r>
      <w:r w:rsidR="00C80C54" w:rsidRPr="00FE4013">
        <w:rPr>
          <w:rFonts w:ascii="Arial" w:hAnsi="Arial" w:cs="Arial"/>
        </w:rPr>
        <w:t>obesity.</w:t>
      </w:r>
    </w:p>
    <w:p w14:paraId="4BC318DD" w14:textId="77777777" w:rsidR="00594F15" w:rsidRPr="00FE4013" w:rsidRDefault="00594F15" w:rsidP="00C80C54">
      <w:pPr>
        <w:rPr>
          <w:rFonts w:ascii="Arial" w:hAnsi="Arial" w:cs="Arial"/>
        </w:rPr>
      </w:pPr>
    </w:p>
    <w:p w14:paraId="169DB573" w14:textId="77777777" w:rsidR="00C80C54" w:rsidRPr="00FE4013" w:rsidRDefault="00DB396C" w:rsidP="00C80C54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</w:t>
      </w:r>
    </w:p>
    <w:p w14:paraId="3B46BB1E" w14:textId="77777777" w:rsidR="00FC7C41" w:rsidRPr="00FE4013" w:rsidRDefault="00510399" w:rsidP="00C80C54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80C54" w:rsidRPr="00FE4013">
        <w:rPr>
          <w:rFonts w:ascii="Arial" w:hAnsi="Arial" w:cs="Arial"/>
        </w:rPr>
        <w:t xml:space="preserve">. </w:t>
      </w:r>
      <w:r w:rsidR="00545F23" w:rsidRPr="00FE4013">
        <w:rPr>
          <w:rFonts w:ascii="Arial" w:hAnsi="Arial" w:cs="Arial"/>
        </w:rPr>
        <w:t>Table 2</w:t>
      </w:r>
      <w:r w:rsidR="00A9355D">
        <w:rPr>
          <w:rFonts w:ascii="Arial" w:hAnsi="Arial" w:cs="Arial"/>
        </w:rPr>
        <w:t xml:space="preserve"> in the Franks article</w:t>
      </w:r>
      <w:r w:rsidR="00545F23" w:rsidRPr="00FE4013">
        <w:rPr>
          <w:rFonts w:ascii="Arial" w:hAnsi="Arial" w:cs="Arial"/>
        </w:rPr>
        <w:t xml:space="preserve"> reports the number, rate, and percentage of deaths by age group for all, external, and endogenous causes of death. </w:t>
      </w:r>
      <w:r>
        <w:rPr>
          <w:rFonts w:ascii="Arial" w:hAnsi="Arial" w:cs="Arial"/>
        </w:rPr>
        <w:t xml:space="preserve">Describe the pattern of premature </w:t>
      </w:r>
      <w:r w:rsidR="00F82037">
        <w:rPr>
          <w:rFonts w:ascii="Arial" w:hAnsi="Arial" w:cs="Arial"/>
        </w:rPr>
        <w:t>endogenous</w:t>
      </w:r>
      <w:r>
        <w:rPr>
          <w:rFonts w:ascii="Arial" w:hAnsi="Arial" w:cs="Arial"/>
        </w:rPr>
        <w:t xml:space="preserve"> related mor</w:t>
      </w:r>
      <w:r w:rsidR="00F82037">
        <w:rPr>
          <w:rFonts w:ascii="Arial" w:hAnsi="Arial" w:cs="Arial"/>
        </w:rPr>
        <w:t>tality</w:t>
      </w:r>
      <w:r>
        <w:rPr>
          <w:rFonts w:ascii="Arial" w:hAnsi="Arial" w:cs="Arial"/>
        </w:rPr>
        <w:t xml:space="preserve"> by age category. </w:t>
      </w:r>
    </w:p>
    <w:p w14:paraId="23854C89" w14:textId="77777777" w:rsidR="00FC7C41" w:rsidRPr="00FE4013" w:rsidRDefault="00FC7C41" w:rsidP="00C80C54">
      <w:pPr>
        <w:rPr>
          <w:rFonts w:ascii="Arial" w:hAnsi="Arial" w:cs="Arial"/>
        </w:rPr>
      </w:pPr>
    </w:p>
    <w:p w14:paraId="4BD5E70E" w14:textId="77777777" w:rsidR="00A22482" w:rsidRPr="00FE4013" w:rsidRDefault="00DB396C" w:rsidP="00C80C5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p w14:paraId="680DE245" w14:textId="77777777" w:rsidR="00652FA1" w:rsidRPr="00FE4013" w:rsidRDefault="00652FA1" w:rsidP="00C80C54">
      <w:pPr>
        <w:rPr>
          <w:rFonts w:ascii="Arial" w:hAnsi="Arial" w:cs="Arial"/>
          <w:i/>
        </w:rPr>
      </w:pPr>
    </w:p>
    <w:p w14:paraId="77AE5744" w14:textId="77777777" w:rsidR="000C635E" w:rsidRPr="00FE4013" w:rsidRDefault="000C635E" w:rsidP="00C80C54">
      <w:pPr>
        <w:rPr>
          <w:rFonts w:ascii="Arial" w:hAnsi="Arial" w:cs="Arial"/>
        </w:rPr>
      </w:pPr>
    </w:p>
    <w:p w14:paraId="7656C29D" w14:textId="77777777" w:rsidR="00C80C54" w:rsidRPr="00FE4013" w:rsidRDefault="00C80C54" w:rsidP="00C80C54">
      <w:pPr>
        <w:rPr>
          <w:rFonts w:ascii="Arial" w:hAnsi="Arial" w:cs="Arial"/>
        </w:rPr>
      </w:pPr>
    </w:p>
    <w:p w14:paraId="7974E510" w14:textId="77777777" w:rsidR="00C80C54" w:rsidRPr="00FE4013" w:rsidRDefault="00510399" w:rsidP="00C80C54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C80C54" w:rsidRPr="00FE4013">
        <w:rPr>
          <w:rFonts w:ascii="Arial" w:hAnsi="Arial" w:cs="Arial"/>
        </w:rPr>
        <w:t xml:space="preserve"> Which </w:t>
      </w:r>
      <w:r w:rsidR="00940113" w:rsidRPr="00FE4013">
        <w:rPr>
          <w:rFonts w:ascii="Arial" w:hAnsi="Arial" w:cs="Arial"/>
        </w:rPr>
        <w:t xml:space="preserve">of the </w:t>
      </w:r>
      <w:r w:rsidR="003A59DB" w:rsidRPr="00FE4013">
        <w:rPr>
          <w:rFonts w:ascii="Arial" w:hAnsi="Arial" w:cs="Arial"/>
        </w:rPr>
        <w:t>childhood</w:t>
      </w:r>
      <w:r w:rsidR="00940113" w:rsidRPr="00FE4013">
        <w:rPr>
          <w:rFonts w:ascii="Arial" w:hAnsi="Arial" w:cs="Arial"/>
        </w:rPr>
        <w:t xml:space="preserve"> health risk factors </w:t>
      </w:r>
      <w:r w:rsidR="00922356" w:rsidRPr="00FE4013">
        <w:rPr>
          <w:rFonts w:ascii="Arial" w:hAnsi="Arial" w:cs="Arial"/>
        </w:rPr>
        <w:t xml:space="preserve">for early mortality </w:t>
      </w:r>
      <w:r w:rsidR="00940113" w:rsidRPr="00FE4013">
        <w:rPr>
          <w:rFonts w:ascii="Arial" w:hAnsi="Arial" w:cs="Arial"/>
        </w:rPr>
        <w:t>discussed in this week’s readings (including the letters to the editor and editorial) is most</w:t>
      </w:r>
      <w:r w:rsidR="00C80C54" w:rsidRPr="00FE4013">
        <w:rPr>
          <w:rFonts w:ascii="Arial" w:hAnsi="Arial" w:cs="Arial"/>
        </w:rPr>
        <w:t xml:space="preserve"> relevant in terms of disease prevention and public health improvement?</w:t>
      </w:r>
      <w:r w:rsidR="00940113" w:rsidRPr="00FE4013">
        <w:rPr>
          <w:rFonts w:ascii="Arial" w:hAnsi="Arial" w:cs="Arial"/>
        </w:rPr>
        <w:t xml:space="preserve"> Explain your answer.</w:t>
      </w:r>
    </w:p>
    <w:p w14:paraId="14848389" w14:textId="77777777" w:rsidR="001D786C" w:rsidRPr="00FE4013" w:rsidRDefault="001D786C" w:rsidP="00C80C54">
      <w:pPr>
        <w:rPr>
          <w:rFonts w:ascii="Arial" w:hAnsi="Arial" w:cs="Arial"/>
        </w:rPr>
      </w:pPr>
    </w:p>
    <w:p w14:paraId="3AB6E7D3" w14:textId="77777777" w:rsidR="001D786C" w:rsidRPr="00FE4013" w:rsidRDefault="00DB396C" w:rsidP="00C80C5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p w14:paraId="15E86751" w14:textId="77777777" w:rsidR="0088737C" w:rsidRPr="00FE4013" w:rsidRDefault="0088737C" w:rsidP="00C80C54">
      <w:pPr>
        <w:rPr>
          <w:rFonts w:ascii="Arial" w:hAnsi="Arial" w:cs="Arial"/>
        </w:rPr>
      </w:pPr>
    </w:p>
    <w:p w14:paraId="0FD043DA" w14:textId="77777777" w:rsidR="00C80C54" w:rsidRPr="00FE4013" w:rsidRDefault="00DB396C" w:rsidP="00C80C54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C80C54" w:rsidRPr="00FE4013">
        <w:rPr>
          <w:rFonts w:ascii="Arial" w:hAnsi="Arial" w:cs="Arial"/>
        </w:rPr>
        <w:t>. Cohort studies are considered observational studies, whereas clinical trials are considered more experimental. How does this difference affect:</w:t>
      </w:r>
    </w:p>
    <w:p w14:paraId="43C7C93A" w14:textId="77777777" w:rsidR="00C80C54" w:rsidRPr="00FE4013" w:rsidRDefault="00C80C54" w:rsidP="00C80C5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E4013">
        <w:rPr>
          <w:rFonts w:ascii="Arial" w:hAnsi="Arial" w:cs="Arial"/>
        </w:rPr>
        <w:t>the generalizability of the conclusio</w:t>
      </w:r>
      <w:r w:rsidR="00DC3EB0" w:rsidRPr="00FE4013">
        <w:rPr>
          <w:rFonts w:ascii="Arial" w:hAnsi="Arial" w:cs="Arial"/>
        </w:rPr>
        <w:t>ns of the two types of studies;</w:t>
      </w:r>
    </w:p>
    <w:p w14:paraId="627F9766" w14:textId="77777777" w:rsidR="00C80C54" w:rsidRPr="00FE4013" w:rsidRDefault="00C80C54" w:rsidP="0088737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E4013">
        <w:rPr>
          <w:rFonts w:ascii="Arial" w:hAnsi="Arial" w:cs="Arial"/>
        </w:rPr>
        <w:t>the strength of the conclusions?</w:t>
      </w:r>
    </w:p>
    <w:p w14:paraId="53E02262" w14:textId="77777777" w:rsidR="00C80C54" w:rsidRPr="00FE4013" w:rsidRDefault="00C80C54" w:rsidP="00C80C54">
      <w:pPr>
        <w:rPr>
          <w:rFonts w:ascii="Arial" w:hAnsi="Arial" w:cs="Arial"/>
        </w:rPr>
      </w:pPr>
    </w:p>
    <w:p w14:paraId="5893ECE1" w14:textId="77777777" w:rsidR="00C80C54" w:rsidRPr="00FE4013" w:rsidRDefault="00C80C54" w:rsidP="00DB396C">
      <w:pPr>
        <w:rPr>
          <w:rFonts w:ascii="Arial" w:hAnsi="Arial" w:cs="Arial"/>
          <w:i/>
        </w:rPr>
      </w:pPr>
      <w:r w:rsidRPr="00FE4013">
        <w:rPr>
          <w:rFonts w:ascii="Arial" w:hAnsi="Arial" w:cs="Arial"/>
        </w:rPr>
        <w:t xml:space="preserve"> </w:t>
      </w:r>
      <w:r w:rsidR="00DB396C">
        <w:rPr>
          <w:rFonts w:ascii="Arial" w:hAnsi="Arial" w:cs="Arial"/>
          <w:i/>
        </w:rPr>
        <w:t xml:space="preserve"> </w:t>
      </w:r>
      <w:r w:rsidR="008C73C7" w:rsidRPr="00FE4013">
        <w:rPr>
          <w:rFonts w:ascii="Arial" w:hAnsi="Arial" w:cs="Arial"/>
          <w:i/>
        </w:rPr>
        <w:t xml:space="preserve"> </w:t>
      </w:r>
    </w:p>
    <w:sectPr w:rsidR="00C80C54" w:rsidRPr="00FE4013" w:rsidSect="00C80C54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72D7"/>
    <w:multiLevelType w:val="hybridMultilevel"/>
    <w:tmpl w:val="331AB2DE"/>
    <w:lvl w:ilvl="0" w:tplc="EF2CF1E2">
      <w:start w:val="1"/>
      <w:numFmt w:val="lowerLetter"/>
      <w:lvlText w:val="%1."/>
      <w:lvlJc w:val="left"/>
      <w:pPr>
        <w:ind w:left="1660" w:hanging="9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050667"/>
    <w:multiLevelType w:val="hybridMultilevel"/>
    <w:tmpl w:val="89449B24"/>
    <w:lvl w:ilvl="0" w:tplc="5B9E58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B445B"/>
    <w:multiLevelType w:val="hybridMultilevel"/>
    <w:tmpl w:val="0A2C8262"/>
    <w:lvl w:ilvl="0" w:tplc="5B9E58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C3516"/>
    <w:multiLevelType w:val="hybridMultilevel"/>
    <w:tmpl w:val="A19A1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95855"/>
    <w:multiLevelType w:val="hybridMultilevel"/>
    <w:tmpl w:val="DE306A9E"/>
    <w:lvl w:ilvl="0" w:tplc="EF2CF1E2">
      <w:start w:val="1"/>
      <w:numFmt w:val="lowerLetter"/>
      <w:lvlText w:val="%1."/>
      <w:lvlJc w:val="left"/>
      <w:pPr>
        <w:ind w:left="1660" w:hanging="9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15CB0"/>
    <w:multiLevelType w:val="hybridMultilevel"/>
    <w:tmpl w:val="E8EEAC48"/>
    <w:lvl w:ilvl="0" w:tplc="5B9E58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B698B"/>
    <w:multiLevelType w:val="hybridMultilevel"/>
    <w:tmpl w:val="751404B0"/>
    <w:lvl w:ilvl="0" w:tplc="D0246A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C54"/>
    <w:rsid w:val="000165C2"/>
    <w:rsid w:val="000302DF"/>
    <w:rsid w:val="00040589"/>
    <w:rsid w:val="000421D1"/>
    <w:rsid w:val="000678A5"/>
    <w:rsid w:val="00070F03"/>
    <w:rsid w:val="00091E87"/>
    <w:rsid w:val="000C635E"/>
    <w:rsid w:val="000E216E"/>
    <w:rsid w:val="000E3391"/>
    <w:rsid w:val="000E36A5"/>
    <w:rsid w:val="000F163E"/>
    <w:rsid w:val="001058E6"/>
    <w:rsid w:val="001B1D5F"/>
    <w:rsid w:val="001C610E"/>
    <w:rsid w:val="001D489E"/>
    <w:rsid w:val="001D786C"/>
    <w:rsid w:val="002227FD"/>
    <w:rsid w:val="00244514"/>
    <w:rsid w:val="0028599C"/>
    <w:rsid w:val="002B063D"/>
    <w:rsid w:val="002B58D4"/>
    <w:rsid w:val="002D0B8E"/>
    <w:rsid w:val="002E7CC2"/>
    <w:rsid w:val="002F2E61"/>
    <w:rsid w:val="00314F30"/>
    <w:rsid w:val="003A41FE"/>
    <w:rsid w:val="003A59DB"/>
    <w:rsid w:val="003C676B"/>
    <w:rsid w:val="003D47A7"/>
    <w:rsid w:val="003F467A"/>
    <w:rsid w:val="0046049D"/>
    <w:rsid w:val="00463C41"/>
    <w:rsid w:val="00481940"/>
    <w:rsid w:val="00482B5E"/>
    <w:rsid w:val="00490960"/>
    <w:rsid w:val="00494C63"/>
    <w:rsid w:val="004F1DDA"/>
    <w:rsid w:val="00510399"/>
    <w:rsid w:val="005271A3"/>
    <w:rsid w:val="00534E69"/>
    <w:rsid w:val="00545F23"/>
    <w:rsid w:val="00594F15"/>
    <w:rsid w:val="005A6AEE"/>
    <w:rsid w:val="005D32E0"/>
    <w:rsid w:val="005F4C0B"/>
    <w:rsid w:val="00652FA1"/>
    <w:rsid w:val="006846DA"/>
    <w:rsid w:val="006C751F"/>
    <w:rsid w:val="006E28E0"/>
    <w:rsid w:val="006E308D"/>
    <w:rsid w:val="00772B85"/>
    <w:rsid w:val="0077646D"/>
    <w:rsid w:val="007805A4"/>
    <w:rsid w:val="007C4C48"/>
    <w:rsid w:val="0081508C"/>
    <w:rsid w:val="0088737C"/>
    <w:rsid w:val="008B388D"/>
    <w:rsid w:val="008B3B4D"/>
    <w:rsid w:val="008B58EE"/>
    <w:rsid w:val="008C73C7"/>
    <w:rsid w:val="00912CB2"/>
    <w:rsid w:val="00922356"/>
    <w:rsid w:val="00940113"/>
    <w:rsid w:val="009A70A4"/>
    <w:rsid w:val="009C1B77"/>
    <w:rsid w:val="00A171DC"/>
    <w:rsid w:val="00A22482"/>
    <w:rsid w:val="00A24314"/>
    <w:rsid w:val="00A35278"/>
    <w:rsid w:val="00A43231"/>
    <w:rsid w:val="00A93112"/>
    <w:rsid w:val="00A9355D"/>
    <w:rsid w:val="00A95595"/>
    <w:rsid w:val="00AD27FD"/>
    <w:rsid w:val="00AE297B"/>
    <w:rsid w:val="00B740DE"/>
    <w:rsid w:val="00BB578A"/>
    <w:rsid w:val="00BC7860"/>
    <w:rsid w:val="00C414CA"/>
    <w:rsid w:val="00C80C54"/>
    <w:rsid w:val="00CC2186"/>
    <w:rsid w:val="00CE29E4"/>
    <w:rsid w:val="00D02870"/>
    <w:rsid w:val="00D05451"/>
    <w:rsid w:val="00DB15BD"/>
    <w:rsid w:val="00DB396C"/>
    <w:rsid w:val="00DC2046"/>
    <w:rsid w:val="00DC3EB0"/>
    <w:rsid w:val="00DD28B7"/>
    <w:rsid w:val="00DF2A5C"/>
    <w:rsid w:val="00E10885"/>
    <w:rsid w:val="00EB74B7"/>
    <w:rsid w:val="00F54967"/>
    <w:rsid w:val="00F82037"/>
    <w:rsid w:val="00F836DE"/>
    <w:rsid w:val="00FC7C41"/>
    <w:rsid w:val="00FD2AD4"/>
    <w:rsid w:val="00FE40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3ABD2"/>
  <w15:docId w15:val="{2D7F0F71-AE66-489E-A77F-37A8FCDD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B66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rsid w:val="00B740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58EE"/>
    <w:pPr>
      <w:spacing w:before="100" w:beforeAutospacing="1" w:after="100" w:afterAutospacing="1"/>
    </w:pPr>
    <w:rPr>
      <w:rFonts w:eastAsiaTheme="minorEastAsia" w:cs="Times New Roman"/>
    </w:rPr>
  </w:style>
  <w:style w:type="paragraph" w:styleId="ListParagraph">
    <w:name w:val="List Paragraph"/>
    <w:basedOn w:val="Normal"/>
    <w:rsid w:val="003D47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27FD"/>
    <w:rPr>
      <w:b/>
      <w:bCs/>
    </w:rPr>
  </w:style>
  <w:style w:type="character" w:styleId="Hyperlink">
    <w:name w:val="Hyperlink"/>
    <w:basedOn w:val="DefaultParagraphFont"/>
    <w:rsid w:val="004819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3F46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F467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510399"/>
    <w:rPr>
      <w:sz w:val="18"/>
      <w:szCs w:val="18"/>
    </w:rPr>
  </w:style>
  <w:style w:type="paragraph" w:styleId="CommentText">
    <w:name w:val="annotation text"/>
    <w:basedOn w:val="Normal"/>
    <w:link w:val="CommentTextChar"/>
    <w:rsid w:val="00510399"/>
  </w:style>
  <w:style w:type="character" w:customStyle="1" w:styleId="CommentTextChar">
    <w:name w:val="Comment Text Char"/>
    <w:basedOn w:val="DefaultParagraphFont"/>
    <w:link w:val="CommentText"/>
    <w:rsid w:val="00510399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5103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10399"/>
    <w:rPr>
      <w:rFonts w:ascii="Times New Roman" w:hAnsi="Times New Roman"/>
      <w:b/>
      <w:bCs/>
      <w:sz w:val="20"/>
      <w:szCs w:val="20"/>
    </w:rPr>
  </w:style>
  <w:style w:type="character" w:styleId="IntenseReference">
    <w:name w:val="Intense Reference"/>
    <w:basedOn w:val="DefaultParagraphFont"/>
    <w:rsid w:val="00B740DE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rsid w:val="00B740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ry.nytimes.com/gst/fullpage.html?res=9C03E4D9103FF932A25751C0A9669D8B63&amp;pagewanted=pr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jm.org/doi/pdf/10.1056/NEJMc10028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jm.org/doi/pdf/10.1056/NEJMe0912192" TargetMode="External"/><Relationship Id="rId5" Type="http://schemas.openxmlformats.org/officeDocument/2006/relationships/hyperlink" Target="http://www.nejm.org/doi/pdf/10.1056/NEJMoa090413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Kristen Ricchetti-Masterson</dc:creator>
  <cp:lastModifiedBy>Ty Darnell</cp:lastModifiedBy>
  <cp:revision>8</cp:revision>
  <dcterms:created xsi:type="dcterms:W3CDTF">2017-09-07T13:35:00Z</dcterms:created>
  <dcterms:modified xsi:type="dcterms:W3CDTF">2019-01-28T21:33:00Z</dcterms:modified>
</cp:coreProperties>
</file>