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44"/>
        </w:rPr>
        <w:t>TRSO Baselines, Reference Controls, and Proposal Ablations</w:t>
      </w:r>
    </w:p>
    <w:p>
      <w:pPr>
        <w:spacing w:after="40"/>
        <w:jc w:val="center"/>
      </w:pPr>
      <w:r>
        <w:rPr>
          <w:rFonts w:ascii="Aptos" w:hAnsi="Aptos"/>
          <w:color w:val="1F4E79"/>
          <w:sz w:val="22"/>
        </w:rPr>
        <w:t>ARC-integrated 46-run protocol split across six self-contained Kaggle sessions</w:t>
      </w:r>
    </w:p>
    <w:p>
      <w:pPr>
        <w:spacing w:after="140"/>
        <w:jc w:val="center"/>
      </w:pPr>
      <w:r>
        <w:rPr>
          <w:color w:val="6B7280"/>
          <w:sz w:val="17"/>
        </w:rPr>
        <w:t>Repository update report | July 29, 2026</w:t>
      </w:r>
    </w:p>
    <w:p>
      <w:pPr>
        <w:pStyle w:val="Heading1"/>
        <w:spacing w:before="160" w:after="80"/>
      </w:pPr>
      <w:r>
        <w:t>1. Corrected experiment taxonomy</w:t>
      </w:r>
    </w:p>
    <w:p>
      <w:pPr>
        <w:spacing w:after="100"/>
      </w:pPr>
      <w:r>
        <w:t>Full Fine-Tuning and Linear Probing are restored as corrected standard reference controls. They are included in the comparison but remain separate from strict literature baselines, the TRSO proposal, and proposal ablations.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320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Result group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Runs</w:t>
            </w:r>
          </w:p>
        </w:tc>
        <w:tc>
          <w:tcPr>
            <w:tcW w:type="dxa" w:w="8208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Reporting rule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Strict literature baselines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Dedicated-paper method rows only</w:t>
            </w:r>
          </w:p>
        </w:tc>
      </w:tr>
      <w:tr>
        <w:tc>
          <w:tcPr>
            <w:tcW w:type="dxa" w:w="4320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Reference controls</w:t>
            </w:r>
          </w:p>
        </w:tc>
        <w:tc>
          <w:tcPr>
            <w:tcW w:type="dxa" w:w="1152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8208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Full Fine-Tuning and Linear Probing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Full TRSO proposal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proposed method only</w:t>
            </w:r>
          </w:p>
        </w:tc>
      </w:tr>
      <w:tr>
        <w:tc>
          <w:tcPr>
            <w:tcW w:type="dxa" w:w="4320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TRSO structural ablations</w:t>
            </w:r>
          </w:p>
        </w:tc>
        <w:tc>
          <w:tcPr>
            <w:tcW w:type="dxa" w:w="1152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8208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Separate proposal-ablation table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8"/>
              </w:rPr>
              <w:t>Total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46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8"/>
              </w:rPr>
              <w:t>One seed, 30 epochs</w:t>
            </w:r>
          </w:p>
        </w:tc>
      </w:tr>
    </w:tbl>
    <w:p>
      <w:pPr>
        <w:pStyle w:val="Heading1"/>
        <w:spacing w:before="160" w:after="80"/>
      </w:pPr>
      <w:r>
        <w:t>2. Corrected reference-control implementation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376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Trainable parameters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Frozen parameters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Learning rate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Comparison role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Full Fine-Tuning (`full`)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Every backbone and task-head parameter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None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1e-4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Upper-capacity reference</w:t>
            </w:r>
          </w:p>
        </w:tc>
      </w:tr>
      <w:tr>
        <w:tc>
          <w:tcPr>
            <w:tcW w:type="dxa" w:w="2376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Linear Probing (`linear`)</w:t>
            </w:r>
          </w:p>
        </w:tc>
        <w:tc>
          <w:tcPr>
            <w:tcW w:type="dxa" w:w="331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Downstream task head only</w:t>
            </w:r>
          </w:p>
        </w:tc>
        <w:tc>
          <w:tcPr>
            <w:tcW w:type="dxa" w:w="2880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Entire pretrained backbone</w:t>
            </w:r>
          </w:p>
        </w:tc>
        <w:tc>
          <w:tcPr>
            <w:tcW w:type="dxa" w:w="1440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1e-3</w:t>
            </w:r>
          </w:p>
        </w:tc>
        <w:tc>
          <w:tcPr>
            <w:tcW w:type="dxa" w:w="4320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Frozen-feature reference and common head initialization</w:t>
            </w:r>
          </w:p>
        </w:tc>
      </w:tr>
    </w:tbl>
    <w:p>
      <w:pPr>
        <w:pStyle w:val="ListBullet"/>
        <w:spacing w:after="30"/>
        <w:ind w:left="259" w:hanging="173"/>
      </w:pPr>
      <w:r>
        <w:rPr>
          <w:sz w:val="18"/>
        </w:rPr>
        <w:t>Reference controls use the same dataset split, seed, epochs, augmentation, optimizer family, cosine scheduler, input size, and evaluation pipeline as the matching TRSO comparison.</w:t>
      </w:r>
    </w:p>
    <w:p>
      <w:pPr>
        <w:pStyle w:val="ListBullet"/>
        <w:spacing w:after="30"/>
        <w:ind w:left="259" w:hanging="173"/>
      </w:pPr>
      <w:r>
        <w:rPr>
          <w:sz w:val="18"/>
        </w:rPr>
        <w:t>Within each Kaggle session, Linear Probing runs first. Its exact best task-head checkpoint initializes compatible strict baselines and TRSO runs without merging the result categories.</w:t>
      </w:r>
    </w:p>
    <w:p>
      <w:pPr>
        <w:pStyle w:val="ListBullet"/>
        <w:spacing w:after="30"/>
        <w:ind w:left="259" w:hanging="173"/>
      </w:pPr>
      <w:r>
        <w:rPr>
          <w:sz w:val="18"/>
        </w:rPr>
        <w:t>TRSO ablations reuse the same ResNet-18 linear-probe head, but never warm-start from a trained full-TRSO checkpoint.</w:t>
      </w:r>
    </w:p>
    <w:p>
      <w:pPr>
        <w:pStyle w:val="Heading1"/>
        <w:spacing w:before="160" w:after="80"/>
      </w:pPr>
      <w:r>
        <w:t>3. Strict literature baselines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Method ID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Report name</w:t>
            </w:r>
          </w:p>
        </w:tc>
        <w:tc>
          <w:tcPr>
            <w:tcW w:type="dxa" w:w="7632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Certified route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prompt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Visual Prompting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ResNet; padding prompt and frequency output mapping</w:t>
            </w:r>
          </w:p>
        </w:tc>
      </w:tr>
      <w:tr>
        <w:tc>
          <w:tcPr>
            <w:tcW w:type="dxa" w:w="2016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conv</w:t>
            </w:r>
          </w:p>
        </w:tc>
        <w:tc>
          <w:tcPr>
            <w:tcW w:type="dxa" w:w="331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Conv-Adapter</w:t>
            </w:r>
          </w:p>
        </w:tc>
        <w:tc>
          <w:tcPr>
            <w:tcW w:type="dxa" w:w="763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ResNet-50 Bottleneck route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ssf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SSF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Published ViT/Swin placements</w:t>
            </w:r>
          </w:p>
        </w:tc>
      </w:tr>
      <w:tr>
        <w:tc>
          <w:tcPr>
            <w:tcW w:type="dxa" w:w="2016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adaptformer</w:t>
            </w:r>
          </w:p>
        </w:tc>
        <w:tc>
          <w:tcPr>
            <w:tcW w:type="dxa" w:w="331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AdaptFormer</w:t>
            </w:r>
          </w:p>
        </w:tc>
        <w:tc>
          <w:tcPr>
            <w:tcW w:type="dxa" w:w="763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Parallel FFN branch on plain ViT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repadapter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RepAdapter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ViT-B/16 with exact folding</w:t>
            </w:r>
          </w:p>
        </w:tc>
      </w:tr>
      <w:tr>
        <w:tc>
          <w:tcPr>
            <w:tcW w:type="dxa" w:w="2016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arc</w:t>
            </w:r>
          </w:p>
        </w:tc>
        <w:tc>
          <w:tcPr>
            <w:tcW w:type="dxa" w:w="331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Adapter Re-Composing (ARC)</w:t>
            </w:r>
          </w:p>
        </w:tc>
        <w:tc>
          <w:tcPr>
            <w:tcW w:type="dxa" w:w="763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Plain ViT; shared attention/FFN projection banks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piggyback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Piggyback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Corrected ResNet-50/VGG-16 masking route</w:t>
            </w:r>
          </w:p>
        </w:tc>
      </w:tr>
      <w:tr>
        <w:tc>
          <w:tcPr>
            <w:tcW w:type="dxa" w:w="2016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vpt_shallow</w:t>
            </w:r>
          </w:p>
        </w:tc>
        <w:tc>
          <w:tcPr>
            <w:tcW w:type="dxa" w:w="331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VPT-Shallow</w:t>
            </w:r>
          </w:p>
        </w:tc>
        <w:tc>
          <w:tcPr>
            <w:tcW w:type="dxa" w:w="763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Named shallow prompt variant on plain ViT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vpt_deep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VPT-Deep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Named deep prompt variant on plain ViT</w:t>
            </w:r>
          </w:p>
        </w:tc>
      </w:tr>
      <w:tr>
        <w:tc>
          <w:tcPr>
            <w:tcW w:type="dxa" w:w="2016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convpass</w:t>
            </w:r>
          </w:p>
        </w:tc>
        <w:tc>
          <w:tcPr>
            <w:tcW w:type="dxa" w:w="331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ConvPass</w:t>
            </w:r>
          </w:p>
        </w:tc>
        <w:tc>
          <w:tcPr>
            <w:tcW w:type="dxa" w:w="763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Complete attention-and-MLP bypass route</w:t>
            </w:r>
          </w:p>
        </w:tc>
      </w:tr>
    </w:tbl>
    <w:p>
      <w:r>
        <w:br/>
      </w:r>
    </w:p>
    <w:p>
      <w:pPr>
        <w:pStyle w:val="Heading1"/>
        <w:spacing w:before="160" w:after="80"/>
      </w:pPr>
      <w:r>
        <w:t>4. Six-session Kaggle execution plan</w:t>
      </w:r>
    </w:p>
    <w:p>
      <w:pPr>
        <w:spacing w:after="100"/>
      </w:pPr>
      <w:r>
        <w:t>Each session is independently runnable and includes its own matching reference controls before baseline/TRSO comparisons. The merge utility combines the six result ZIPs but performs no training.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1008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Session</w:t>
            </w:r>
          </w:p>
        </w:tc>
        <w:tc>
          <w:tcPr>
            <w:tcW w:type="dxa" w:w="4752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Full + Linear</w:t>
            </w:r>
          </w:p>
        </w:tc>
        <w:tc>
          <w:tcPr>
            <w:tcW w:type="dxa" w:w="2088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Literature baselines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TRSO</w:t>
            </w:r>
          </w:p>
        </w:tc>
        <w:tc>
          <w:tcPr>
            <w:tcW w:type="dxa" w:w="1224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Ablations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DTD / ResNet-50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c>
          <w:tcPr>
            <w:tcW w:type="dxa" w:w="100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475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DTD / ViT-B/16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DTD / ResNet-18 + Swin-T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</w:tr>
      <w:tr>
        <w:tc>
          <w:tcPr>
            <w:tcW w:type="dxa" w:w="100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475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Flowers-102 / ResNet-18 + Swin-T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Oxford-IIIT Pet classification / ResNet-18 + Swin-T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c>
          <w:tcPr>
            <w:tcW w:type="dxa" w:w="100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4752"/>
            <w:vAlign w:val="center"/>
            <w:shd w:fill="EAF1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VOC2007 multilabel + Oxford-Pet segmentation</w:t>
            </w:r>
          </w:p>
        </w:tc>
        <w:tc>
          <w:tcPr>
            <w:tcW w:type="dxa" w:w="172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8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Total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6"/>
              </w:rPr>
              <w:t>All sessions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20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12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10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46</w:t>
            </w:r>
          </w:p>
        </w:tc>
      </w:tr>
    </w:tbl>
    <w:p>
      <w:pPr>
        <w:pStyle w:val="Heading1"/>
        <w:spacing w:before="160" w:after="80"/>
      </w:pPr>
      <w:r>
        <w:t>5. Excluded methods</w:t>
      </w:r>
    </w:p>
    <w:p>
      <w:pPr>
        <w:spacing w:after="80"/>
      </w:pPr>
      <w:r>
        <w:t>The six-session Kaggle protocol does not schedule FacT-TT, FacT-TK, VQT, SPT-LoRA, SPT-Adapter, LoRA, BitFit, Side-Tuning, Norm-only, Bias-only, Last-block, or ConvPass-Attn. Full Fine-Tuning and Linear Probing are not excluded; they are restored under the separate Reference Controls category.</w:t>
      </w:r>
    </w:p>
    <w:p>
      <w:pPr>
        <w:pStyle w:val="Heading1"/>
        <w:spacing w:before="160" w:after="80"/>
      </w:pPr>
      <w:r>
        <w:t>6. Validation status</w:t>
      </w:r>
    </w:p>
    <w:p>
      <w:pPr>
        <w:pStyle w:val="ListBullet"/>
        <w:spacing w:after="30"/>
        <w:ind w:left="259" w:hanging="173"/>
      </w:pPr>
      <w:r>
        <w:rPr>
          <w:sz w:val="18"/>
        </w:rPr>
        <w:t>150/150 repository tests passed, including new six-session protocol and corrected reference-control tests.</w:t>
      </w:r>
    </w:p>
    <w:p>
      <w:pPr>
        <w:pStyle w:val="ListBullet"/>
        <w:spacing w:after="30"/>
        <w:ind w:left="259" w:hanging="173"/>
      </w:pPr>
      <w:r>
        <w:rPr>
          <w:sz w:val="18"/>
        </w:rPr>
        <w:t>A one-epoch CPU fair-suite smoke run completed both controls: Linear Probing trained 1,026 head parameters; Full Fine-Tuning trained all 11,177,538 ResNet-18 parameters.</w:t>
      </w:r>
    </w:p>
    <w:p>
      <w:pPr>
        <w:pStyle w:val="ListBullet"/>
        <w:spacing w:after="30"/>
        <w:ind w:left="259" w:hanging="173"/>
      </w:pPr>
      <w:r>
        <w:rPr>
          <w:sz w:val="18"/>
        </w:rPr>
        <w:t>All strict-baseline structural/gradient preflight checks passed; ARC exact folding retained maximum absolute output error 0.0 on the preflight model.</w:t>
      </w:r>
    </w:p>
    <w:p>
      <w:pPr>
        <w:pStyle w:val="ListBullet"/>
        <w:spacing w:after="30"/>
        <w:ind w:left="259" w:hanging="173"/>
      </w:pPr>
      <w:r>
        <w:rPr>
          <w:sz w:val="18"/>
        </w:rPr>
        <w:t>All six Kaggle scripts and the merge utility compile successfully; protocol validation reports exactly 46 runs with session totals 6, 10, 12, 6, 6, and 6.</w:t>
      </w:r>
    </w:p>
    <w:p>
      <w:pPr>
        <w:pStyle w:val="Heading1"/>
        <w:spacing w:before="160" w:after="80"/>
      </w:pPr>
      <w:r>
        <w:t>7. Fixed experimental settings</w:t>
      </w:r>
    </w:p>
    <w:p>
      <w:pPr>
        <w:spacing w:after="0"/>
      </w:pPr>
      <w:r>
        <w:t>Seed 0; split seed 0; 30 epochs; 3 warm-up epochs; 224 x 224 input; AdamW; cosine scheduler; basic augmentation. ViT-B/16 uses batch size 8 to reduce full-fine-tuning memory risk on common Kaggle GPUs. Because the protocol uses one seed, results must be reported as fixed-seed evidence without statistical-significance claims.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5"/>
      </w:rPr>
      <w:t>TRSO V10 comparison protocol | Strict baselines + corrected reference controls + separate proposal ablations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TRSO V10 | Corrected Comparison Protocol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TRSO Baselines, Reference Controls, and Proposal Ablations</dc:title>
  <dc:subject>46-run six-session Kaggle comparison protocol</dc:subject>
  <dc:creator>TRSO Project</dc:creator>
  <cp:keywords>TRSO, ARC, fine-tuning, linear probing, Kaggle, baseline, ablation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