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b/>
          <w:i w:val="0"/>
          <w:sz w:val="28"/>
        </w:rPr>
        <w:t>ĐỀ CƯƠNG ĐỀ XUẤT ĐỒ ÁN</w:t>
      </w:r>
    </w:p>
    <w:p>
      <w:pPr>
        <w:spacing w:after="40"/>
        <w:jc w:val="center"/>
      </w:pPr>
      <w:r>
        <w:rPr>
          <w:rFonts w:ascii="Times New Roman" w:hAnsi="Times New Roman" w:eastAsia="Times New Roman"/>
          <w:b/>
          <w:i w:val="0"/>
          <w:sz w:val="26"/>
        </w:rPr>
        <w:t>TÁI LẬP VÀ CẢI TIẾN HỆ THỐNG THEO DÕI NGƯỜI ĐI BỘ THỤ ĐỘNG</w:t>
        <w:br/>
        <w:t>BẰNG RADAR UWB ĐA TĨNH SỬ DỤNG THIẾT BỊ COTS</w:t>
      </w:r>
    </w:p>
    <w:p>
      <w:pPr>
        <w:spacing w:after="80"/>
        <w:jc w:val="center"/>
      </w:pPr>
      <w:r>
        <w:rPr>
          <w:rFonts w:ascii="Times New Roman" w:hAnsi="Times New Roman" w:eastAsia="Times New Roman"/>
          <w:b w:val="0"/>
          <w:i/>
          <w:sz w:val="21"/>
        </w:rPr>
        <w:t>Phương pháp đề xuất: U-FusePF – hợp nhất độ tin cậy CIR/variance và Particle Filter thích nghi</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5074"/>
        <w:gridCol w:w="5074"/>
      </w:tblGrid>
      <w:tr>
        <w:tc>
          <w:tcPr>
            <w:tcW w:type="dxa" w:w="2268"/>
            <w:vAlign w:val="center"/>
            <w:shd w:fill="E7E6E6"/>
          </w:tcPr>
          <w:p>
            <w:pPr>
              <w:keepLines/>
              <w:spacing w:after="0"/>
              <w:jc w:val="center"/>
            </w:pPr>
            <w:r>
              <w:rPr>
                <w:rFonts w:ascii="Times New Roman" w:hAnsi="Times New Roman" w:eastAsia="Times New Roman"/>
                <w:b/>
                <w:i w:val="0"/>
                <w:sz w:val="18"/>
              </w:rPr>
              <w:t>Thông tin</w:t>
            </w:r>
          </w:p>
        </w:tc>
        <w:tc>
          <w:tcPr>
            <w:tcW w:type="dxa" w:w="7654"/>
            <w:vAlign w:val="center"/>
            <w:shd w:fill="E7E6E6"/>
          </w:tcPr>
          <w:p>
            <w:pPr>
              <w:keepLines/>
              <w:spacing w:after="0"/>
              <w:jc w:val="center"/>
            </w:pPr>
            <w:r>
              <w:rPr>
                <w:rFonts w:ascii="Times New Roman" w:hAnsi="Times New Roman" w:eastAsia="Times New Roman"/>
                <w:b/>
                <w:i w:val="0"/>
                <w:sz w:val="18"/>
              </w:rPr>
              <w:t>Nội dung</w:t>
            </w:r>
          </w:p>
        </w:tc>
      </w:tr>
      <w:tr>
        <w:tc>
          <w:tcPr>
            <w:tcW w:type="dxa" w:w="2268"/>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8"/>
              </w:rPr>
              <w:t>Nhóm đề tài</w:t>
            </w:r>
          </w:p>
        </w:tc>
        <w:tc>
          <w:tcPr>
            <w:tcW w:type="dxa" w:w="7654"/>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8"/>
              </w:rPr>
              <w:t>Human Tracking – ĐA 1–2</w:t>
            </w:r>
          </w:p>
        </w:tc>
      </w:tr>
      <w:tr>
        <w:tc>
          <w:tcPr>
            <w:tcW w:type="dxa" w:w="2268"/>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8"/>
              </w:rPr>
              <w:t>Giảng viên hướng dẫn</w:t>
            </w:r>
          </w:p>
        </w:tc>
        <w:tc>
          <w:tcPr>
            <w:tcW w:type="dxa" w:w="7654"/>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8"/>
              </w:rPr>
              <w:t>TS. Trịnh Xuân Dũng</w:t>
            </w:r>
          </w:p>
        </w:tc>
      </w:tr>
      <w:tr>
        <w:tc>
          <w:tcPr>
            <w:tcW w:type="dxa" w:w="2268"/>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8"/>
              </w:rPr>
              <w:t>Nền tảng triển khai</w:t>
            </w:r>
          </w:p>
        </w:tc>
        <w:tc>
          <w:tcPr>
            <w:tcW w:type="dxa" w:w="7654"/>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8"/>
              </w:rPr>
              <w:t>Python 3.10+, PyTorch; dữ liệu UWB đa tĩnh 4 node/6 liên kết</w:t>
            </w:r>
          </w:p>
        </w:tc>
      </w:tr>
    </w:tbl>
    <w:p>
      <w:pPr>
        <w:spacing w:after="0"/>
      </w:pPr>
    </w:p>
    <w:p>
      <w:pPr>
        <w:pStyle w:val="Heading1"/>
        <w:keepNext/>
        <w:spacing w:before="60" w:after="30"/>
      </w:pPr>
      <w:r>
        <w:rPr>
          <w:rFonts w:ascii="Times New Roman" w:hAnsi="Times New Roman" w:eastAsia="Times New Roman"/>
          <w:b/>
          <w:i w:val="0"/>
          <w:sz w:val="23"/>
        </w:rPr>
        <w:t>1. Mục tiêu</w:t>
      </w:r>
    </w:p>
    <w:p>
      <w:pPr>
        <w:spacing w:after="30" w:line="245" w:lineRule="auto"/>
        <w:jc w:val="both"/>
      </w:pPr>
      <w:r>
        <w:rPr>
          <w:rFonts w:ascii="Times New Roman" w:hAnsi="Times New Roman" w:eastAsia="Times New Roman"/>
          <w:b w:val="0"/>
          <w:i w:val="0"/>
        </w:rPr>
        <w:t>Mục tiêu tổng quát. Xây dựng một pipeline Python có khả năng tái lập có kiểm soát phương pháp CIR-CNN/variance-CNN + Particle Filter của bài báo gốc, sau đó phát triển và kiểm chứng U-FusePF để giảm ảnh hưởng của liên kết NLoS, outlier hoặc dropout mà không làm suy giảm đáng kể độ chính xác LoS.</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5074"/>
        <w:gridCol w:w="5074"/>
      </w:tblGrid>
      <w:tr>
        <w:tc>
          <w:tcPr>
            <w:tcW w:type="dxa" w:w="2268"/>
            <w:vAlign w:val="center"/>
            <w:shd w:fill="E7E6E6"/>
          </w:tcPr>
          <w:p>
            <w:pPr>
              <w:keepLines/>
              <w:spacing w:after="0"/>
              <w:jc w:val="center"/>
            </w:pPr>
            <w:r>
              <w:rPr>
                <w:rFonts w:ascii="Times New Roman" w:hAnsi="Times New Roman" w:eastAsia="Times New Roman"/>
                <w:b/>
                <w:i w:val="0"/>
                <w:sz w:val="17"/>
              </w:rPr>
              <w:t>Mục tiêu cụ thể</w:t>
            </w:r>
          </w:p>
        </w:tc>
        <w:tc>
          <w:tcPr>
            <w:tcW w:type="dxa" w:w="7654"/>
            <w:vAlign w:val="center"/>
            <w:shd w:fill="E7E6E6"/>
          </w:tcPr>
          <w:p>
            <w:pPr>
              <w:keepLines/>
              <w:spacing w:after="0"/>
              <w:jc w:val="center"/>
            </w:pPr>
            <w:r>
              <w:rPr>
                <w:rFonts w:ascii="Times New Roman" w:hAnsi="Times New Roman" w:eastAsia="Times New Roman"/>
                <w:b/>
                <w:i w:val="0"/>
                <w:sz w:val="17"/>
              </w:rPr>
              <w:t>Tiêu chí kiểm chứng</w:t>
            </w:r>
          </w:p>
        </w:tc>
      </w:tr>
      <w:tr>
        <w:tc>
          <w:tcPr>
            <w:tcW w:type="dxa" w:w="2268"/>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7"/>
              </w:rPr>
              <w:t>Tái lập bài báo gốc</w:t>
            </w:r>
          </w:p>
        </w:tc>
        <w:tc>
          <w:tcPr>
            <w:tcW w:type="dxa" w:w="7654"/>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7"/>
              </w:rPr>
              <w:t>Đúng đầu vào dynamic/background, CNN residual, ba cách chia quỹ đạo, hồi quy ToF và Student-t PF; đối chiếu xu hướng RMSE trên dữ liệu gốc.</w:t>
            </w:r>
          </w:p>
        </w:tc>
      </w:tr>
      <w:tr>
        <w:tc>
          <w:tcPr>
            <w:tcW w:type="dxa" w:w="2268"/>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7"/>
              </w:rPr>
              <w:t>Xây dựng U-FusePF</w:t>
            </w:r>
          </w:p>
        </w:tc>
        <w:tc>
          <w:tcPr>
            <w:tcW w:type="dxa" w:w="7654"/>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7"/>
              </w:rPr>
              <w:t>Hợp nhất hai chuyên gia CIR/variance bằng độ tin cậy toàn cục từ validation và độ tin cậy cục bộ theo từng liên kết/thời điểm.</w:t>
            </w:r>
          </w:p>
        </w:tc>
      </w:tr>
      <w:tr>
        <w:tc>
          <w:tcPr>
            <w:tcW w:type="dxa" w:w="2268"/>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7"/>
              </w:rPr>
              <w:t>Nâng độ chặt thực nghiệm</w:t>
            </w:r>
          </w:p>
        </w:tc>
        <w:tc>
          <w:tcPr>
            <w:tcW w:type="dxa" w:w="7654"/>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7"/>
              </w:rPr>
              <w:t>Nhiều seed, ablation, NLoS/outlier/dropout, mean ± std, 95% CI, kiểm định Wilcoxon và phân tích runtime.</w:t>
            </w:r>
          </w:p>
        </w:tc>
      </w:tr>
      <w:tr>
        <w:tc>
          <w:tcPr>
            <w:tcW w:type="dxa" w:w="2268"/>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7"/>
              </w:rPr>
              <w:t>Hoàn thiện sản phẩm</w:t>
            </w:r>
          </w:p>
        </w:tc>
        <w:tc>
          <w:tcPr>
            <w:tcW w:type="dxa" w:w="7654"/>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7"/>
              </w:rPr>
              <w:t>Mã Python end-to-end, test tự động, cấu hình YAML, checkpoint, CSV, đồ thị CDF/quỹ đạo và tài liệu triển khai.</w:t>
            </w:r>
          </w:p>
        </w:tc>
      </w:tr>
    </w:tbl>
    <w:p>
      <w:pPr>
        <w:spacing w:after="0"/>
      </w:pPr>
    </w:p>
    <w:p>
      <w:pPr>
        <w:pStyle w:val="Heading1"/>
        <w:keepNext/>
        <w:spacing w:before="60" w:after="30"/>
      </w:pPr>
      <w:r>
        <w:rPr>
          <w:rFonts w:ascii="Times New Roman" w:hAnsi="Times New Roman" w:eastAsia="Times New Roman"/>
          <w:b/>
          <w:i w:val="0"/>
          <w:sz w:val="23"/>
        </w:rPr>
        <w:t>2. Bài toán và cơ sở phương pháp</w:t>
      </w:r>
    </w:p>
    <w:p>
      <w:pPr>
        <w:spacing w:after="30" w:line="245" w:lineRule="auto"/>
        <w:jc w:val="both"/>
      </w:pPr>
      <w:r>
        <w:rPr>
          <w:rFonts w:ascii="Times New Roman" w:hAnsi="Times New Roman" w:eastAsia="Times New Roman"/>
          <w:b w:val="0"/>
          <w:i w:val="0"/>
        </w:rPr>
        <w:t>Bài báo gốc sử dụng bốn node DWM1000, tạo sáu liên kết radar đa tĩnh. Với vị trí người p và hai anchor a_i, a_j, ToF phản xạ kỳ vọng là:</w:t>
      </w:r>
    </w:p>
    <w:p>
      <w:pPr>
        <w:spacing w:before="20" w:after="20"/>
        <w:jc w:val="center"/>
      </w:pPr>
      <w:r>
        <w:rPr>
          <w:rFonts w:ascii="Cambria Math" w:hAnsi="Cambria Math" w:eastAsia="Cambria Math"/>
          <w:b w:val="0"/>
          <w:i/>
          <w:sz w:val="21"/>
        </w:rPr>
        <w:t>τᵢⱼ(p) = (‖p − aᵢ‖₂ + ‖p − aⱼ‖₂) / c.</w:t>
      </w:r>
    </w:p>
    <w:p>
      <w:pPr>
        <w:spacing w:after="30" w:line="245" w:lineRule="auto"/>
        <w:jc w:val="both"/>
      </w:pPr>
      <w:r>
        <w:rPr>
          <w:rFonts w:ascii="Times New Roman" w:hAnsi="Times New Roman" w:eastAsia="Times New Roman"/>
          <w:b w:val="0"/>
          <w:i w:val="0"/>
        </w:rPr>
        <w:t>CIR được tích lũy, căn chỉnh quanh đường LoS và resample về lưới delay đều. Hai CNN riêng biệt nhận đồng thời profile động và profile nền để hồi quy vị trí delay phản xạ. Sáu ToF sau đó được đưa vào Particle Filter; phân bố Student-t được dùng vì lỗi ToF có đuôi dày hơn Gaussian [1]. Hạn chế chính là hai modality không được hợp nhất, mọi liên kết được xử lý gần như đồng đều và repository thiếu protocol nhiều seed, ablation và đánh giá calibration.</w:t>
      </w:r>
    </w:p>
    <w:p>
      <w:r>
        <w:rPr>
          <w:rFonts w:ascii="Times New Roman" w:hAnsi="Times New Roman" w:eastAsia="Times New Roman"/>
        </w:rPr>
        <w:br/>
      </w:r>
    </w:p>
    <w:p>
      <w:r>
        <w:rPr>
          <w:rFonts w:ascii="Times New Roman" w:hAnsi="Times New Roman" w:eastAsia="Times New Roman"/>
        </w:rPr>
        <w:br w:type="page"/>
      </w:r>
    </w:p>
    <w:p>
      <w:pPr>
        <w:pStyle w:val="Heading1"/>
        <w:keepNext/>
        <w:spacing w:before="60" w:after="30"/>
      </w:pPr>
      <w:r>
        <w:rPr>
          <w:rFonts w:ascii="Times New Roman" w:hAnsi="Times New Roman" w:eastAsia="Times New Roman"/>
          <w:b/>
          <w:i w:val="0"/>
          <w:sz w:val="23"/>
        </w:rPr>
        <w:t>3. Phạm vi nghiên cứu và triển khai</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5074"/>
        <w:gridCol w:w="5074"/>
      </w:tblGrid>
      <w:tr>
        <w:tc>
          <w:tcPr>
            <w:tcW w:type="dxa" w:w="4932"/>
            <w:vAlign w:val="center"/>
            <w:shd w:fill="E7E6E6"/>
          </w:tcPr>
          <w:p>
            <w:pPr>
              <w:keepLines/>
              <w:spacing w:after="0"/>
              <w:jc w:val="center"/>
            </w:pPr>
            <w:r>
              <w:rPr>
                <w:rFonts w:ascii="Times New Roman" w:hAnsi="Times New Roman" w:eastAsia="Times New Roman"/>
                <w:b/>
                <w:i w:val="0"/>
                <w:sz w:val="17"/>
              </w:rPr>
              <w:t>Trong phạm vi</w:t>
            </w:r>
          </w:p>
        </w:tc>
        <w:tc>
          <w:tcPr>
            <w:tcW w:type="dxa" w:w="4932"/>
            <w:vAlign w:val="center"/>
            <w:shd w:fill="E7E6E6"/>
          </w:tcPr>
          <w:p>
            <w:pPr>
              <w:keepLines/>
              <w:spacing w:after="0"/>
              <w:jc w:val="center"/>
            </w:pPr>
            <w:r>
              <w:rPr>
                <w:rFonts w:ascii="Times New Roman" w:hAnsi="Times New Roman" w:eastAsia="Times New Roman"/>
                <w:b/>
                <w:i w:val="0"/>
                <w:sz w:val="17"/>
              </w:rPr>
              <w:t>Ngoài phạm vi giai đoạn đầu</w:t>
            </w:r>
          </w:p>
        </w:tc>
      </w:tr>
      <w:tr>
        <w:tc>
          <w:tcPr>
            <w:tcW w:type="dxa" w:w="4932"/>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7"/>
              </w:rPr>
              <w:t>Tái lập thuật toán CNN + PF bằng Python/PyTorch; ba case; dữ liệu CIR và variance đã tiền xử lý.</w:t>
            </w:r>
          </w:p>
        </w:tc>
        <w:tc>
          <w:tcPr>
            <w:tcW w:type="dxa" w:w="4932"/>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7"/>
              </w:rPr>
              <w:t>Thiết kế RF, thay đổi phần cứng DWM1000, đa người, nhận dạng hành động hoặc triển khai thương mại.</w:t>
            </w:r>
          </w:p>
        </w:tc>
      </w:tr>
      <w:tr>
        <w:tc>
          <w:tcPr>
            <w:tcW w:type="dxa" w:w="4932"/>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7"/>
              </w:rPr>
              <w:t>Mô phỏng có kiểm soát để stress-test; adapter chuyển dữ liệu MATLAB chính thức sang định dạng chuẩn.</w:t>
            </w:r>
          </w:p>
        </w:tc>
        <w:tc>
          <w:tcPr>
            <w:tcW w:type="dxa" w:w="4932"/>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7"/>
              </w:rPr>
              <w:t>Tuyên bố độ chính xác thực tế chỉ dựa trên dữ liệu tổng hợp.</w:t>
            </w:r>
          </w:p>
        </w:tc>
      </w:tr>
      <w:tr>
        <w:tc>
          <w:tcPr>
            <w:tcW w:type="dxa" w:w="4932"/>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7"/>
              </w:rPr>
              <w:t>Đánh giá LoS/NLoS/outlier/dropout, độ bất định, runtime và thống kê.</w:t>
            </w:r>
          </w:p>
        </w:tc>
        <w:tc>
          <w:tcPr>
            <w:tcW w:type="dxa" w:w="4932"/>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7"/>
              </w:rPr>
              <w:t>Thu thập dữ liệu online nếu chưa có đủ bốn node và hệ MoCap/ground truth tương đương.</w:t>
            </w:r>
          </w:p>
        </w:tc>
      </w:tr>
    </w:tbl>
    <w:p>
      <w:pPr>
        <w:spacing w:after="0"/>
      </w:pPr>
    </w:p>
    <w:p>
      <w:pPr>
        <w:spacing w:after="30" w:line="245" w:lineRule="auto"/>
        <w:jc w:val="both"/>
      </w:pPr>
      <w:r>
        <w:rPr>
          <w:rFonts w:ascii="Times New Roman" w:hAnsi="Times New Roman" w:eastAsia="Times New Roman"/>
          <w:b w:val="0"/>
          <w:i w:val="0"/>
        </w:rPr>
        <w:t>Dữ liệu tổng hợp chỉ dùng để kiểm tra end-to-end và phân tích stress-test. Kết luận chính về hiệu quả thực tế phải dựa trên bộ dữ liệu thí nghiệm chính thức hoặc dữ liệu DWM1000 mới được thu thập. Cách giới hạn này bảo đảm liêm chính học thuật và tránh nhầm lẫn giữa mô phỏng và thực nghiệm.</w:t>
      </w:r>
    </w:p>
    <w:p>
      <w:pPr>
        <w:pStyle w:val="Heading1"/>
        <w:keepNext/>
        <w:spacing w:before="60" w:after="30"/>
      </w:pPr>
      <w:r>
        <w:rPr>
          <w:rFonts w:ascii="Times New Roman" w:hAnsi="Times New Roman" w:eastAsia="Times New Roman"/>
          <w:b/>
          <w:i w:val="0"/>
          <w:sz w:val="23"/>
        </w:rPr>
        <w:t>4. Tái lập bài báo gốc bằng Python</w:t>
      </w:r>
    </w:p>
    <w:p>
      <w:pPr>
        <w:spacing w:after="30" w:line="245" w:lineRule="auto"/>
        <w:jc w:val="both"/>
      </w:pPr>
      <w:r>
        <w:rPr>
          <w:rFonts w:ascii="Times New Roman" w:hAnsi="Times New Roman" w:eastAsia="Times New Roman"/>
          <w:b w:val="0"/>
          <w:i w:val="0"/>
        </w:rPr>
        <w:t>Hai baseline Official CIR-CNN và Official Variance-CNN được port trực tiếp từ mã MATLAB: đầu vào 500 × 2 dynamic/background và zero-center; Conv 10 × 1, 8 kênh; pool 10 × 1 stride 5; Conv 4 × 2, 16 kênh; pool 4 × 2 stride 2; ba residual stage 32/64/128 dùng kernel 4 × 1 và projection 1 × 1; global max pool; FC-10 → FC-1 không sigmoid để hồi quy delay index một-based. Nhãn là delay dư gần nhất trên lưới resample.</w:t>
      </w:r>
    </w:p>
    <w:p>
      <w:pPr>
        <w:spacing w:after="30" w:line="245" w:lineRule="auto"/>
        <w:jc w:val="both"/>
      </w:pPr>
      <w:r>
        <w:rPr>
          <w:rFonts w:ascii="Times New Roman" w:hAnsi="Times New Roman" w:eastAsia="Times New Roman"/>
          <w:b w:val="0"/>
          <w:i w:val="0"/>
        </w:rPr>
        <w:t>Hai protocol được tách rõ. Chế độ repository-parity dùng 50 epoch, Adam 10⁻³, mini-batch floor(N/10), random 85/15 sample split, công thức index gốc và PF 200 particle: khởi tạo trong vùng công bố, khuếch tán vị trí Δt·5·N(0,1), t-location-scale toàn cục và resample mỗi bước. Chế độ so sánh khoa học dùng timestamp validation, sửa lệch một bin, early stopping và nhiều seed. Converter hỗ trợ Bg_CIR_VAR.mat, Dyn_CIR_VAR.mat và AnchorPos.mat; thiếu file động thì chỉ kết luận architecture/protocol reproduction trên demo.</w:t>
      </w:r>
    </w:p>
    <w:p>
      <w:pPr>
        <w:pStyle w:val="Heading1"/>
        <w:keepNext/>
        <w:spacing w:before="60" w:after="30"/>
      </w:pPr>
      <w:r>
        <w:rPr>
          <w:rFonts w:ascii="Times New Roman" w:hAnsi="Times New Roman" w:eastAsia="Times New Roman"/>
          <w:b/>
          <w:i w:val="0"/>
          <w:sz w:val="23"/>
        </w:rPr>
        <w:t>5. Phương pháp đề xuất U-FusePF</w:t>
      </w:r>
    </w:p>
    <w:p>
      <w:pPr>
        <w:spacing w:after="30" w:line="245" w:lineRule="auto"/>
        <w:jc w:val="both"/>
      </w:pPr>
      <w:r>
        <w:rPr>
          <w:rFonts w:ascii="Times New Roman" w:hAnsi="Times New Roman" w:eastAsia="Times New Roman"/>
          <w:b w:val="0"/>
          <w:i w:val="0"/>
        </w:rPr>
        <w:t>U-FusePF giữ hai CNN gốc làm hai chuyên gia độc lập, nhờ đó đóng góp mới được xây dựng trực tiếp trên baseline mạnh thay vì thay bằng peak detector thủ công. Một mạng reliability gọn nhận sáu chuỗi: CIR động, CIR nền, |CIR động−nền|, variance động, variance nền và |variance động−nền|. Hai branch 1D separable convolution dự đoán độ bất định cục bộ của từng modality.</w:t>
      </w:r>
    </w:p>
    <w:p>
      <w:pPr>
        <w:spacing w:after="30" w:line="245" w:lineRule="auto"/>
        <w:jc w:val="both"/>
      </w:pPr>
      <w:r>
        <w:rPr>
          <w:rFonts w:ascii="Times New Roman" w:hAnsi="Times New Roman" w:eastAsia="Times New Roman"/>
          <w:b w:val="0"/>
          <w:i w:val="0"/>
        </w:rPr>
        <w:t>Độ tin cậy toàn cục của modality m được tính trên validation, r_m = 1/(MAE²_m,val + ε). Mạng mới sinh độ tin cậy cục bộ q_m(t,l). Trọng số hợp nhất không dùng nhãn test:</w:t>
      </w:r>
    </w:p>
    <w:p>
      <w:pPr>
        <w:spacing w:before="20" w:after="20"/>
        <w:jc w:val="center"/>
      </w:pPr>
      <w:r>
        <w:rPr>
          <w:rFonts w:ascii="Cambria Math" w:hAnsi="Cambria Math" w:eastAsia="Cambria Math"/>
          <w:b w:val="0"/>
          <w:i/>
          <w:sz w:val="21"/>
        </w:rPr>
        <w:t>wₘ(t,l) = qₘ(t,l) rₘ / Σⱼ qⱼ(t,l) rⱼ;   μ(t,l) = w_CIR μ_CIR + w_VAR μ_VAR.</w:t>
      </w:r>
    </w:p>
    <w:p>
      <w:pPr>
        <w:spacing w:after="30" w:line="245" w:lineRule="auto"/>
        <w:jc w:val="both"/>
      </w:pPr>
      <w:r>
        <w:rPr>
          <w:rFonts w:ascii="Times New Roman" w:hAnsi="Times New Roman" w:eastAsia="Times New Roman"/>
          <w:b w:val="0"/>
          <w:i w:val="0"/>
        </w:rPr>
        <w:t>Scale cuối kết hợp bất định aleatoric học được và độ bất đồng giữa hai chuyên gia:</w:t>
      </w:r>
    </w:p>
    <w:p>
      <w:pPr>
        <w:spacing w:before="20" w:after="20"/>
        <w:jc w:val="center"/>
      </w:pPr>
      <w:r>
        <w:rPr>
          <w:rFonts w:ascii="Cambria Math" w:hAnsi="Cambria Math" w:eastAsia="Cambria Math"/>
          <w:b w:val="0"/>
          <w:i/>
          <w:sz w:val="21"/>
        </w:rPr>
        <w:t>σ²_total = σ²_local + [0.25 |μ_CIR − μ_VAR|]².</w:t>
      </w:r>
    </w:p>
    <w:p>
      <w:r>
        <w:rPr>
          <w:rFonts w:ascii="Times New Roman" w:hAnsi="Times New Roman" w:eastAsia="Times New Roman"/>
        </w:rPr>
        <w:br w:type="page"/>
      </w:r>
    </w:p>
    <w:p>
      <w:pPr>
        <w:pStyle w:val="Heading1"/>
        <w:keepNext/>
        <w:spacing w:before="60" w:after="30"/>
      </w:pPr>
      <w:r>
        <w:rPr>
          <w:rFonts w:ascii="Times New Roman" w:hAnsi="Times New Roman" w:eastAsia="Times New Roman"/>
          <w:b/>
          <w:i w:val="0"/>
          <w:sz w:val="23"/>
        </w:rPr>
        <w:t>5. Phương pháp đề xuất U-FusePF (tiếp)</w:t>
      </w:r>
    </w:p>
    <w:p>
      <w:pPr>
        <w:spacing w:after="30" w:line="245" w:lineRule="auto"/>
        <w:jc w:val="both"/>
      </w:pPr>
      <w:r>
        <w:rPr>
          <w:rFonts w:ascii="Times New Roman" w:hAnsi="Times New Roman" w:eastAsia="Times New Roman"/>
          <w:b w:val="0"/>
          <w:i w:val="0"/>
        </w:rPr>
        <w:t>Mạng reliability được huấn luyện bằng Student-t negative log-likelihood dị phương sai, robust location loss, auxiliary loss cho từng branch và consistency loss chỉ mạnh khi cả hai branch cùng tự tin. Trong Particle Filter, scale dự đoán được đưa trực tiếp vào likelihood từng liên kết:</w:t>
      </w:r>
    </w:p>
    <w:p>
      <w:pPr>
        <w:spacing w:before="20" w:after="20"/>
        <w:jc w:val="center"/>
      </w:pPr>
      <w:r>
        <w:rPr>
          <w:rFonts w:ascii="Cambria Math" w:hAnsi="Cambria Math" w:eastAsia="Cambria Math"/>
          <w:b w:val="0"/>
          <w:i/>
          <w:sz w:val="21"/>
        </w:rPr>
        <w:t>p(z_l|x) = (1−ε) t_ν(z_l−τ_l(x); σ_l) + ε t₃(z_l−τ_l(x); σ_out).</w:t>
      </w:r>
    </w:p>
    <w:p>
      <w:pPr>
        <w:spacing w:after="30" w:line="245" w:lineRule="auto"/>
        <w:jc w:val="both"/>
      </w:pPr>
      <w:r>
        <w:rPr>
          <w:rFonts w:ascii="Times New Roman" w:hAnsi="Times New Roman" w:eastAsia="Times New Roman"/>
          <w:b w:val="0"/>
          <w:i w:val="0"/>
        </w:rPr>
        <w:t>Khi một liên kết có scale lớn hoặc hai chuyên gia bất đồng, likelihood trở nên rộng và liên kết đó không thể kéo toàn bộ quỹ đạo sai lệch. Giả thuyết khoa học là cơ chế truyền bất định từ tầng ToF sang tầng tracking sẽ giảm RMSE/P90 trong NLoS và dropout; giả thuyết bị bác bỏ nếu cải thiện không ổn định qua case/seed hoặc uncertainty không phát hiện liên kết lỗi tốt hơn ngẫu nhiên.</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3383"/>
        <w:gridCol w:w="3383"/>
        <w:gridCol w:w="3383"/>
      </w:tblGrid>
      <w:tr>
        <w:tc>
          <w:tcPr>
            <w:tcW w:type="dxa" w:w="2268"/>
            <w:vAlign w:val="center"/>
            <w:shd w:fill="E7E6E6"/>
          </w:tcPr>
          <w:p>
            <w:pPr>
              <w:keepLines/>
              <w:spacing w:after="0"/>
              <w:jc w:val="center"/>
            </w:pPr>
            <w:r>
              <w:rPr>
                <w:rFonts w:ascii="Times New Roman" w:hAnsi="Times New Roman" w:eastAsia="Times New Roman"/>
                <w:b/>
                <w:i w:val="0"/>
                <w:sz w:val="17"/>
              </w:rPr>
              <w:t>Thành phần</w:t>
            </w:r>
          </w:p>
        </w:tc>
        <w:tc>
          <w:tcPr>
            <w:tcW w:type="dxa" w:w="3628"/>
            <w:vAlign w:val="center"/>
            <w:shd w:fill="E7E6E6"/>
          </w:tcPr>
          <w:p>
            <w:pPr>
              <w:keepLines/>
              <w:spacing w:after="0"/>
              <w:jc w:val="center"/>
            </w:pPr>
            <w:r>
              <w:rPr>
                <w:rFonts w:ascii="Times New Roman" w:hAnsi="Times New Roman" w:eastAsia="Times New Roman"/>
                <w:b/>
                <w:i w:val="0"/>
                <w:sz w:val="17"/>
              </w:rPr>
              <w:t>Baseline bài báo</w:t>
            </w:r>
          </w:p>
        </w:tc>
        <w:tc>
          <w:tcPr>
            <w:tcW w:type="dxa" w:w="3969"/>
            <w:vAlign w:val="center"/>
            <w:shd w:fill="E7E6E6"/>
          </w:tcPr>
          <w:p>
            <w:pPr>
              <w:keepLines/>
              <w:spacing w:after="0"/>
              <w:jc w:val="center"/>
            </w:pPr>
            <w:r>
              <w:rPr>
                <w:rFonts w:ascii="Times New Roman" w:hAnsi="Times New Roman" w:eastAsia="Times New Roman"/>
                <w:b/>
                <w:i w:val="0"/>
                <w:sz w:val="17"/>
              </w:rPr>
              <w:t>U-FusePF</w:t>
            </w:r>
          </w:p>
        </w:tc>
      </w:tr>
      <w:tr>
        <w:tc>
          <w:tcPr>
            <w:tcW w:type="dxa" w:w="2268"/>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7"/>
              </w:rPr>
              <w:t>Ước lượng ToF</w:t>
            </w:r>
          </w:p>
        </w:tc>
        <w:tc>
          <w:tcPr>
            <w:tcW w:type="dxa" w:w="3628"/>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7"/>
              </w:rPr>
              <w:t>CIR hoặc variance CNN riêng</w:t>
            </w:r>
          </w:p>
        </w:tc>
        <w:tc>
          <w:tcPr>
            <w:tcW w:type="dxa" w:w="3969"/>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7"/>
              </w:rPr>
              <w:t>Hai CNN chuyên gia + mạng reliability cục bộ</w:t>
            </w:r>
          </w:p>
        </w:tc>
      </w:tr>
      <w:tr>
        <w:tc>
          <w:tcPr>
            <w:tcW w:type="dxa" w:w="2268"/>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7"/>
              </w:rPr>
              <w:t>Hợp nhất modality</w:t>
            </w:r>
          </w:p>
        </w:tc>
        <w:tc>
          <w:tcPr>
            <w:tcW w:type="dxa" w:w="3628"/>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7"/>
              </w:rPr>
              <w:t>Không có</w:t>
            </w:r>
          </w:p>
        </w:tc>
        <w:tc>
          <w:tcPr>
            <w:tcW w:type="dxa" w:w="3969"/>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7"/>
              </w:rPr>
              <w:t>Validation prior × local reliability</w:t>
            </w:r>
          </w:p>
        </w:tc>
      </w:tr>
      <w:tr>
        <w:tc>
          <w:tcPr>
            <w:tcW w:type="dxa" w:w="2268"/>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7"/>
              </w:rPr>
              <w:t>Bất định</w:t>
            </w:r>
          </w:p>
        </w:tc>
        <w:tc>
          <w:tcPr>
            <w:tcW w:type="dxa" w:w="3628"/>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7"/>
              </w:rPr>
              <w:t>Một scale Student-t toàn cục</w:t>
            </w:r>
          </w:p>
        </w:tc>
        <w:tc>
          <w:tcPr>
            <w:tcW w:type="dxa" w:w="3969"/>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7"/>
              </w:rPr>
              <w:t>Scale theo từng timestamp/link + expert disagreement</w:t>
            </w:r>
          </w:p>
        </w:tc>
      </w:tr>
      <w:tr>
        <w:tc>
          <w:tcPr>
            <w:tcW w:type="dxa" w:w="2268"/>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7"/>
              </w:rPr>
              <w:t>Tracking</w:t>
            </w:r>
          </w:p>
        </w:tc>
        <w:tc>
          <w:tcPr>
            <w:tcW w:type="dxa" w:w="3628"/>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7"/>
              </w:rPr>
              <w:t>Mọi liên kết dùng cùng scale</w:t>
            </w:r>
          </w:p>
        </w:tc>
        <w:tc>
          <w:tcPr>
            <w:tcW w:type="dxa" w:w="3969"/>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7"/>
              </w:rPr>
              <w:t>Likelihood thích nghi + broad outlier component</w:t>
            </w:r>
          </w:p>
        </w:tc>
      </w:tr>
      <w:tr>
        <w:tc>
          <w:tcPr>
            <w:tcW w:type="dxa" w:w="2268"/>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7"/>
              </w:rPr>
              <w:t>Độ phức tạp</w:t>
            </w:r>
          </w:p>
        </w:tc>
        <w:tc>
          <w:tcPr>
            <w:tcW w:type="dxa" w:w="3628"/>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7"/>
              </w:rPr>
              <w:t>Một CNN + PF</w:t>
            </w:r>
          </w:p>
        </w:tc>
        <w:tc>
          <w:tcPr>
            <w:tcW w:type="dxa" w:w="3969"/>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7"/>
              </w:rPr>
              <w:t>Hai CNN + mạng gọn + PF; đo runtime thực tế</w:t>
            </w:r>
          </w:p>
        </w:tc>
      </w:tr>
    </w:tbl>
    <w:p>
      <w:pPr>
        <w:spacing w:after="0"/>
      </w:pPr>
    </w:p>
    <w:p>
      <w:pPr>
        <w:pStyle w:val="Heading1"/>
        <w:keepNext/>
        <w:spacing w:before="60" w:after="30"/>
      </w:pPr>
      <w:r>
        <w:rPr>
          <w:rFonts w:ascii="Times New Roman" w:hAnsi="Times New Roman" w:eastAsia="Times New Roman"/>
          <w:b/>
          <w:i w:val="0"/>
          <w:sz w:val="23"/>
        </w:rPr>
        <w:t>6. Kế hoạch thực nghiệm</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5074"/>
        <w:gridCol w:w="5074"/>
      </w:tblGrid>
      <w:tr>
        <w:tc>
          <w:tcPr>
            <w:tcW w:type="dxa" w:w="1928"/>
            <w:vAlign w:val="center"/>
            <w:shd w:fill="E7E6E6"/>
          </w:tcPr>
          <w:p>
            <w:pPr>
              <w:keepLines/>
              <w:spacing w:after="0"/>
              <w:jc w:val="center"/>
            </w:pPr>
            <w:r>
              <w:rPr>
                <w:rFonts w:ascii="Times New Roman" w:hAnsi="Times New Roman" w:eastAsia="Times New Roman"/>
                <w:b/>
                <w:i w:val="0"/>
                <w:sz w:val="16"/>
              </w:rPr>
              <w:t>Nhóm thí nghiệm</w:t>
            </w:r>
          </w:p>
        </w:tc>
        <w:tc>
          <w:tcPr>
            <w:tcW w:type="dxa" w:w="7937"/>
            <w:vAlign w:val="center"/>
            <w:shd w:fill="E7E6E6"/>
          </w:tcPr>
          <w:p>
            <w:pPr>
              <w:keepLines/>
              <w:spacing w:after="0"/>
              <w:jc w:val="center"/>
            </w:pPr>
            <w:r>
              <w:rPr>
                <w:rFonts w:ascii="Times New Roman" w:hAnsi="Times New Roman" w:eastAsia="Times New Roman"/>
                <w:b/>
                <w:i w:val="0"/>
                <w:sz w:val="16"/>
              </w:rPr>
              <w:t>Thiết kế</w:t>
            </w:r>
          </w:p>
        </w:tc>
      </w:tr>
      <w:tr>
        <w:tc>
          <w:tcPr>
            <w:tcW w:type="dxa" w:w="1928"/>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Tái lập</w:t>
            </w:r>
          </w:p>
        </w:tc>
        <w:tc>
          <w:tcPr>
            <w:tcW w:type="dxa" w:w="7937"/>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3 case; Official CIR-CNN/Variance-CNN + repository PF; kiểm tra cả repository-parity và protocol leak-safe.</w:t>
            </w:r>
          </w:p>
        </w:tc>
      </w:tr>
      <w:tr>
        <w:tc>
          <w:tcPr>
            <w:tcW w:type="dxa" w:w="1928"/>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So sánh chính</w:t>
            </w:r>
          </w:p>
        </w:tc>
        <w:tc>
          <w:tcPr>
            <w:tcW w:type="dxa" w:w="7937"/>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Repository-PF để kiểm tra parity; thêm CIR/variance + cùng stabilized equal-PF để so sánh công bằng; U-Fuse equal-PF; full U-FusePF.</w:t>
            </w:r>
          </w:p>
        </w:tc>
      </w:tr>
      <w:tr>
        <w:tc>
          <w:tcPr>
            <w:tcW w:type="dxa" w:w="1928"/>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Robustness</w:t>
            </w:r>
          </w:p>
        </w:tc>
        <w:tc>
          <w:tcPr>
            <w:tcW w:type="dxa" w:w="7937"/>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LoS, NLoS-1, NLoS-2, random outlier, dropout; sweep severity 0.5/1.0/1.5 và xác suất false peak CIR–variance tương quan 0/0.5/1.</w:t>
            </w:r>
          </w:p>
        </w:tc>
      </w:tr>
      <w:tr>
        <w:tc>
          <w:tcPr>
            <w:tcW w:type="dxa" w:w="1928"/>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Ablation</w:t>
            </w:r>
          </w:p>
        </w:tc>
        <w:tc>
          <w:tcPr>
            <w:tcW w:type="dxa" w:w="7937"/>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CIR-only, variance-only, fixed fusion, bỏ uncertainty, full; equal-PF tách riêng đóng góp của adaptive PF.</w:t>
            </w:r>
          </w:p>
        </w:tc>
      </w:tr>
      <w:tr>
        <w:tc>
          <w:tcPr>
            <w:tcW w:type="dxa" w:w="1928"/>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Thống kê</w:t>
            </w:r>
          </w:p>
        </w:tc>
        <w:tc>
          <w:tcPr>
            <w:tcW w:type="dxa" w:w="7937"/>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3 case × tối thiểu 5 seed; mean ± std, 95% CI; paired difference, win rate và Wilcoxon signed-rank.</w:t>
            </w:r>
          </w:p>
        </w:tc>
      </w:tr>
    </w:tbl>
    <w:p>
      <w:pPr>
        <w:spacing w:after="0"/>
      </w:pPr>
    </w:p>
    <w:p>
      <w:pPr>
        <w:spacing w:after="30" w:line="245" w:lineRule="auto"/>
        <w:jc w:val="both"/>
      </w:pPr>
      <w:r>
        <w:rPr>
          <w:rFonts w:ascii="Times New Roman" w:hAnsi="Times New Roman" w:eastAsia="Times New Roman"/>
          <w:b w:val="0"/>
          <w:i w:val="0"/>
        </w:rPr>
        <w:t>Metric chính: ToF MAE/RMSE/P90 (ns); tracking RMSE/MAE/median/P90 (cm); CDF lỗi; parameter count; model size; inference ms/link; PF ms/update; total FPS. Chất lượng uncertainty được đo bằng ECE, Brier score, AUROC và AUPRC nhận biết liên kết bị corruption.</w:t>
      </w:r>
    </w:p>
    <w:p>
      <w:pPr>
        <w:pStyle w:val="Heading1"/>
        <w:keepNext/>
        <w:spacing w:before="60" w:after="30"/>
      </w:pPr>
      <w:r>
        <w:rPr>
          <w:rFonts w:ascii="Times New Roman" w:hAnsi="Times New Roman" w:eastAsia="Times New Roman"/>
          <w:b/>
          <w:i w:val="0"/>
          <w:sz w:val="23"/>
        </w:rPr>
        <w:t>7. Cấu trúc triển khai Python</w:t>
      </w:r>
    </w:p>
    <w:p>
      <w:pPr>
        <w:spacing w:after="30" w:line="245" w:lineRule="auto"/>
        <w:jc w:val="both"/>
      </w:pPr>
      <w:r>
        <w:rPr>
          <w:rFonts w:ascii="Times New Roman" w:hAnsi="Times New Roman" w:eastAsia="Times New Roman"/>
          <w:b w:val="0"/>
          <w:i w:val="0"/>
        </w:rPr>
        <w:t>Repository được tổ chức thành data/simulation/models/training/tracking/metrics/experiments. Cấu hình YAML tách quick run, paper reproduction, full benchmark, ablation và robustness sweep. PyTest kiểm tra hình học ToF, split, tensor, forward pass, Student-t loss, corruption và Particle Filter. Kết quả lưu tăng dần vào CSV để không mất các run đã hoàn tất.</w:t>
      </w:r>
    </w:p>
    <w:p>
      <w:r>
        <w:rPr>
          <w:rFonts w:ascii="Times New Roman" w:hAnsi="Times New Roman" w:eastAsia="Times New Roman"/>
        </w:rPr>
        <w:br w:type="page"/>
      </w:r>
    </w:p>
    <w:p>
      <w:pPr>
        <w:pStyle w:val="Heading1"/>
        <w:keepNext/>
        <w:spacing w:before="60" w:after="30"/>
      </w:pPr>
      <w:r>
        <w:rPr>
          <w:rFonts w:ascii="Times New Roman" w:hAnsi="Times New Roman" w:eastAsia="Times New Roman"/>
          <w:b/>
          <w:i w:val="0"/>
          <w:sz w:val="23"/>
        </w:rPr>
        <w:t>8. Tiến độ thực hiện</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3383"/>
        <w:gridCol w:w="3383"/>
        <w:gridCol w:w="3383"/>
      </w:tblGrid>
      <w:tr>
        <w:tc>
          <w:tcPr>
            <w:tcW w:type="dxa" w:w="1304"/>
            <w:vAlign w:val="center"/>
            <w:shd w:fill="E7E6E6"/>
          </w:tcPr>
          <w:p>
            <w:pPr>
              <w:keepLines/>
              <w:spacing w:after="0"/>
              <w:jc w:val="center"/>
            </w:pPr>
            <w:r>
              <w:rPr>
                <w:rFonts w:ascii="Times New Roman" w:hAnsi="Times New Roman" w:eastAsia="Times New Roman"/>
                <w:b/>
                <w:i w:val="0"/>
                <w:sz w:val="16"/>
              </w:rPr>
              <w:t>Giai đoạn</w:t>
            </w:r>
          </w:p>
        </w:tc>
        <w:tc>
          <w:tcPr>
            <w:tcW w:type="dxa" w:w="4649"/>
            <w:vAlign w:val="center"/>
            <w:shd w:fill="E7E6E6"/>
          </w:tcPr>
          <w:p>
            <w:pPr>
              <w:keepLines/>
              <w:spacing w:after="0"/>
              <w:jc w:val="center"/>
            </w:pPr>
            <w:r>
              <w:rPr>
                <w:rFonts w:ascii="Times New Roman" w:hAnsi="Times New Roman" w:eastAsia="Times New Roman"/>
                <w:b/>
                <w:i w:val="0"/>
                <w:sz w:val="16"/>
              </w:rPr>
              <w:t>Công việc chính</w:t>
            </w:r>
          </w:p>
        </w:tc>
        <w:tc>
          <w:tcPr>
            <w:tcW w:type="dxa" w:w="3912"/>
            <w:vAlign w:val="center"/>
            <w:shd w:fill="E7E6E6"/>
          </w:tcPr>
          <w:p>
            <w:pPr>
              <w:keepLines/>
              <w:spacing w:after="0"/>
              <w:jc w:val="center"/>
            </w:pPr>
            <w:r>
              <w:rPr>
                <w:rFonts w:ascii="Times New Roman" w:hAnsi="Times New Roman" w:eastAsia="Times New Roman"/>
                <w:b/>
                <w:i w:val="0"/>
                <w:sz w:val="16"/>
              </w:rPr>
              <w:t>Kết quả/tiêu chí</w:t>
            </w:r>
          </w:p>
        </w:tc>
      </w:tr>
      <w:tr>
        <w:tc>
          <w:tcPr>
            <w:tcW w:type="dxa" w:w="1304"/>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Tuần 1–2</w:t>
            </w:r>
          </w:p>
        </w:tc>
        <w:tc>
          <w:tcPr>
            <w:tcW w:type="dxa" w:w="4649"/>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Chuẩn hóa dữ liệu; hoàn thiện converter MATLAB→Python; kiểm tra hình học và timeline.</w:t>
            </w:r>
          </w:p>
        </w:tc>
        <w:tc>
          <w:tcPr>
            <w:tcW w:type="dxa" w:w="3912"/>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Dataset chuẩn, data validation và test qua.</w:t>
            </w:r>
          </w:p>
        </w:tc>
      </w:tr>
      <w:tr>
        <w:tc>
          <w:tcPr>
            <w:tcW w:type="dxa" w:w="1304"/>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Tuần 3–5</w:t>
            </w:r>
          </w:p>
        </w:tc>
        <w:tc>
          <w:tcPr>
            <w:tcW w:type="dxa" w:w="4649"/>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Tái lập CIR-CNN, variance-CNN, Student-t PF; chạy ba case.</w:t>
            </w:r>
          </w:p>
        </w:tc>
        <w:tc>
          <w:tcPr>
            <w:tcW w:type="dxa" w:w="3912"/>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Bảng ToF/tracking, xu hướng phù hợp bài báo trên dữ liệu gốc.</w:t>
            </w:r>
          </w:p>
        </w:tc>
      </w:tr>
      <w:tr>
        <w:tc>
          <w:tcPr>
            <w:tcW w:type="dxa" w:w="1304"/>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Tuần 6–8</w:t>
            </w:r>
          </w:p>
        </w:tc>
        <w:tc>
          <w:tcPr>
            <w:tcW w:type="dxa" w:w="4649"/>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Xây reliability network, validation-prior fusion, uncertainty-aware PF.</w:t>
            </w:r>
          </w:p>
        </w:tc>
        <w:tc>
          <w:tcPr>
            <w:tcW w:type="dxa" w:w="3912"/>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Full U-FusePF chạy end-to-end; checkpoint và profiling.</w:t>
            </w:r>
          </w:p>
        </w:tc>
      </w:tr>
      <w:tr>
        <w:tc>
          <w:tcPr>
            <w:tcW w:type="dxa" w:w="1304"/>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Tuần 9–11</w:t>
            </w:r>
          </w:p>
        </w:tc>
        <w:tc>
          <w:tcPr>
            <w:tcW w:type="dxa" w:w="4649"/>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LoS/NLoS/outlier/dropout, nhiều seed, calibration và severity sweep.</w:t>
            </w:r>
          </w:p>
        </w:tc>
        <w:tc>
          <w:tcPr>
            <w:tcW w:type="dxa" w:w="3912"/>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results_raw/summary/statistical_tests.csv; CDF và quỹ đạo.</w:t>
            </w:r>
          </w:p>
        </w:tc>
      </w:tr>
      <w:tr>
        <w:tc>
          <w:tcPr>
            <w:tcW w:type="dxa" w:w="1304"/>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Tuần 12–14</w:t>
            </w:r>
          </w:p>
        </w:tc>
        <w:tc>
          <w:tcPr>
            <w:tcW w:type="dxa" w:w="4649"/>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Ablation, phân tích failure cases, tối ưu runtime và tái lập.</w:t>
            </w:r>
          </w:p>
        </w:tc>
        <w:tc>
          <w:tcPr>
            <w:tcW w:type="dxa" w:w="3912"/>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Chứng minh đóng góp từng thành phần; báo cáo mean ± std.</w:t>
            </w:r>
          </w:p>
        </w:tc>
      </w:tr>
      <w:tr>
        <w:tc>
          <w:tcPr>
            <w:tcW w:type="dxa" w:w="1304"/>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Tuần 15–18</w:t>
            </w:r>
          </w:p>
        </w:tc>
        <w:tc>
          <w:tcPr>
            <w:tcW w:type="dxa" w:w="4649"/>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Hoàn thiện báo cáo, slide, mã nguồn và hướng dẫn demo.</w:t>
            </w:r>
          </w:p>
        </w:tc>
        <w:tc>
          <w:tcPr>
            <w:tcW w:type="dxa" w:w="3912"/>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Bộ sản phẩm nộp đầy đủ, demo tái lập được.</w:t>
            </w:r>
          </w:p>
        </w:tc>
      </w:tr>
    </w:tbl>
    <w:p>
      <w:pPr>
        <w:spacing w:after="0"/>
      </w:pPr>
    </w:p>
    <w:p>
      <w:pPr>
        <w:pStyle w:val="Heading1"/>
        <w:keepNext/>
        <w:spacing w:before="60" w:after="30"/>
      </w:pPr>
      <w:r>
        <w:rPr>
          <w:rFonts w:ascii="Times New Roman" w:hAnsi="Times New Roman" w:eastAsia="Times New Roman"/>
          <w:b/>
          <w:i w:val="0"/>
          <w:sz w:val="23"/>
        </w:rPr>
        <w:t>9. Kết quả dự kiến và đóng góp</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3383"/>
        <w:gridCol w:w="3383"/>
        <w:gridCol w:w="3383"/>
      </w:tblGrid>
      <w:tr>
        <w:tc>
          <w:tcPr>
            <w:tcW w:type="dxa" w:w="1417"/>
            <w:vAlign w:val="center"/>
            <w:shd w:fill="E7E6E6"/>
          </w:tcPr>
          <w:p>
            <w:pPr>
              <w:keepLines/>
              <w:spacing w:after="0"/>
              <w:jc w:val="center"/>
            </w:pPr>
            <w:r>
              <w:rPr>
                <w:rFonts w:ascii="Times New Roman" w:hAnsi="Times New Roman" w:eastAsia="Times New Roman"/>
                <w:b/>
                <w:i w:val="0"/>
                <w:sz w:val="16"/>
              </w:rPr>
              <w:t>Loại</w:t>
            </w:r>
          </w:p>
        </w:tc>
        <w:tc>
          <w:tcPr>
            <w:tcW w:type="dxa" w:w="4535"/>
            <w:vAlign w:val="center"/>
            <w:shd w:fill="E7E6E6"/>
          </w:tcPr>
          <w:p>
            <w:pPr>
              <w:keepLines/>
              <w:spacing w:after="0"/>
              <w:jc w:val="center"/>
            </w:pPr>
            <w:r>
              <w:rPr>
                <w:rFonts w:ascii="Times New Roman" w:hAnsi="Times New Roman" w:eastAsia="Times New Roman"/>
                <w:b/>
                <w:i w:val="0"/>
                <w:sz w:val="16"/>
              </w:rPr>
              <w:t>Kết quả dự kiến</w:t>
            </w:r>
          </w:p>
        </w:tc>
        <w:tc>
          <w:tcPr>
            <w:tcW w:type="dxa" w:w="3912"/>
            <w:vAlign w:val="center"/>
            <w:shd w:fill="E7E6E6"/>
          </w:tcPr>
          <w:p>
            <w:pPr>
              <w:keepLines/>
              <w:spacing w:after="0"/>
              <w:jc w:val="center"/>
            </w:pPr>
            <w:r>
              <w:rPr>
                <w:rFonts w:ascii="Times New Roman" w:hAnsi="Times New Roman" w:eastAsia="Times New Roman"/>
                <w:b/>
                <w:i w:val="0"/>
                <w:sz w:val="16"/>
              </w:rPr>
              <w:t>Cách chứng minh</w:t>
            </w:r>
          </w:p>
        </w:tc>
      </w:tr>
      <w:tr>
        <w:tc>
          <w:tcPr>
            <w:tcW w:type="dxa" w:w="1417"/>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Tái lập</w:t>
            </w:r>
          </w:p>
        </w:tc>
        <w:tc>
          <w:tcPr>
            <w:tcW w:type="dxa" w:w="4535"/>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Port đúng graph CNN, delay-index protocol và repository PF, không lặp sáu script MATLAB.</w:t>
            </w:r>
          </w:p>
        </w:tc>
        <w:tc>
          <w:tcPr>
            <w:tcW w:type="dxa" w:w="3912"/>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Parity tests, ba case, converter và đối chiếu dữ liệu gốc.</w:t>
            </w:r>
          </w:p>
        </w:tc>
      </w:tr>
      <w:tr>
        <w:tc>
          <w:tcPr>
            <w:tcW w:type="dxa" w:w="1417"/>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Khoa học</w:t>
            </w:r>
          </w:p>
        </w:tc>
        <w:tc>
          <w:tcPr>
            <w:tcW w:type="dxa" w:w="4535"/>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Cơ chế hợp nhất global-validation reliability với local uncertainty.</w:t>
            </w:r>
          </w:p>
        </w:tc>
        <w:tc>
          <w:tcPr>
            <w:tcW w:type="dxa" w:w="3912"/>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So sánh fixed/local/global fusion và calibration.</w:t>
            </w:r>
          </w:p>
        </w:tc>
      </w:tr>
      <w:tr>
        <w:tc>
          <w:tcPr>
            <w:tcW w:type="dxa" w:w="1417"/>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Thuật toán</w:t>
            </w:r>
          </w:p>
        </w:tc>
        <w:tc>
          <w:tcPr>
            <w:tcW w:type="dxa" w:w="4535"/>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Truyền predictive uncertainty và expert disagreement vào PF.</w:t>
            </w:r>
          </w:p>
        </w:tc>
        <w:tc>
          <w:tcPr>
            <w:tcW w:type="dxa" w:w="3912"/>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Equal-PF so với adaptive PF; P90/CDF dưới NLoS.</w:t>
            </w:r>
          </w:p>
        </w:tc>
      </w:tr>
      <w:tr>
        <w:tc>
          <w:tcPr>
            <w:tcW w:type="dxa" w:w="1417"/>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Thực nghiệm</w:t>
            </w:r>
          </w:p>
        </w:tc>
        <w:tc>
          <w:tcPr>
            <w:tcW w:type="dxa" w:w="4535"/>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Protocol nhiều seed, severity/correlation sweep và kiểm định cặp.</w:t>
            </w:r>
          </w:p>
        </w:tc>
        <w:tc>
          <w:tcPr>
            <w:tcW w:type="dxa" w:w="3912"/>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Mean ± std, CI, Wilcoxon, win rate và failure analysis.</w:t>
            </w:r>
          </w:p>
        </w:tc>
      </w:tr>
      <w:tr>
        <w:tc>
          <w:tcPr>
            <w:tcW w:type="dxa" w:w="1417"/>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Kỹ thuật</w:t>
            </w:r>
          </w:p>
        </w:tc>
        <w:tc>
          <w:tcPr>
            <w:tcW w:type="dxa" w:w="4535"/>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Mã nguồn Python end-to-end, cấu hình, checkpoint, CSV và biểu đồ.</w:t>
            </w:r>
          </w:p>
        </w:tc>
        <w:tc>
          <w:tcPr>
            <w:tcW w:type="dxa" w:w="3912"/>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Chạy một lệnh trên CPU/GPU; PyTest và hướng dẫn triển khai.</w:t>
            </w:r>
          </w:p>
        </w:tc>
      </w:tr>
    </w:tbl>
    <w:p>
      <w:pPr>
        <w:spacing w:after="0"/>
      </w:pPr>
    </w:p>
    <w:p>
      <w:pPr>
        <w:spacing w:after="30" w:line="245" w:lineRule="auto"/>
        <w:jc w:val="both"/>
      </w:pPr>
      <w:r>
        <w:rPr>
          <w:rFonts w:ascii="Times New Roman" w:hAnsi="Times New Roman" w:eastAsia="Times New Roman"/>
          <w:b w:val="0"/>
          <w:i w:val="0"/>
        </w:rPr>
        <w:t>Mức đạt tối thiểu: tái lập đúng kiến trúc và protocol, toàn bộ test qua, kết quả có thể chạy lại, báo cáo không trộn kết quả synthetic với real. Mức tốt: U-FusePF không kém baseline tốt nhất quá 5% ở LoS và cải thiện RMSE hoặc P90 trong đa số NLoS/outlier/dropout. Mức cao: cải thiện có ý nghĩa thống kê trên dữ liệu thực, uncertainty AUROC &gt; 0.5 rõ rệt và runtime đáp ứng chu kỳ cập nhật.</w:t>
      </w:r>
    </w:p>
    <w:p>
      <w:pPr>
        <w:pStyle w:val="Heading1"/>
        <w:keepNext/>
        <w:spacing w:before="60" w:after="30"/>
      </w:pPr>
      <w:r>
        <w:rPr>
          <w:rFonts w:ascii="Times New Roman" w:hAnsi="Times New Roman" w:eastAsia="Times New Roman"/>
          <w:b/>
          <w:i w:val="0"/>
          <w:sz w:val="23"/>
        </w:rPr>
        <w:t>10. Rủi ro và phương án xử lý</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5074"/>
        <w:gridCol w:w="5074"/>
      </w:tblGrid>
      <w:tr>
        <w:tc>
          <w:tcPr>
            <w:tcW w:type="dxa" w:w="3628"/>
            <w:vAlign w:val="center"/>
            <w:shd w:fill="E7E6E6"/>
          </w:tcPr>
          <w:p>
            <w:pPr>
              <w:keepLines/>
              <w:spacing w:after="0"/>
              <w:jc w:val="center"/>
            </w:pPr>
            <w:r>
              <w:rPr>
                <w:rFonts w:ascii="Times New Roman" w:hAnsi="Times New Roman" w:eastAsia="Times New Roman"/>
                <w:b/>
                <w:i w:val="0"/>
                <w:sz w:val="16"/>
              </w:rPr>
              <w:t>Rủi ro</w:t>
            </w:r>
          </w:p>
        </w:tc>
        <w:tc>
          <w:tcPr>
            <w:tcW w:type="dxa" w:w="6236"/>
            <w:vAlign w:val="center"/>
            <w:shd w:fill="E7E6E6"/>
          </w:tcPr>
          <w:p>
            <w:pPr>
              <w:keepLines/>
              <w:spacing w:after="0"/>
              <w:jc w:val="center"/>
            </w:pPr>
            <w:r>
              <w:rPr>
                <w:rFonts w:ascii="Times New Roman" w:hAnsi="Times New Roman" w:eastAsia="Times New Roman"/>
                <w:b/>
                <w:i w:val="0"/>
                <w:sz w:val="16"/>
              </w:rPr>
              <w:t>Biện pháp</w:t>
            </w:r>
          </w:p>
        </w:tc>
      </w:tr>
      <w:tr>
        <w:tc>
          <w:tcPr>
            <w:tcW w:type="dxa" w:w="3628"/>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Thiếu Dyn_CIR_VAR.mat hoặc biến MATLAB không đồng nhất</w:t>
            </w:r>
          </w:p>
        </w:tc>
        <w:tc>
          <w:tcPr>
            <w:tcW w:type="dxa" w:w="6236"/>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Converter kiểm tra tên/shape; báo cáo rõ trạng thái “architecture reproduction” cho đến khi có dữ liệu gốc.</w:t>
            </w:r>
          </w:p>
        </w:tc>
      </w:tr>
      <w:tr>
        <w:tc>
          <w:tcPr>
            <w:tcW w:type="dxa" w:w="3628"/>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Synthetic generator thiên vị fusion</w:t>
            </w:r>
          </w:p>
        </w:tc>
        <w:tc>
          <w:tcPr>
            <w:tcW w:type="dxa" w:w="6236"/>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False peak có thể tương quan hoặc độc lập; sweep correlation; không dùng synthetic để tuyên bố hiệu quả thực tế.</w:t>
            </w:r>
          </w:p>
        </w:tc>
      </w:tr>
      <w:tr>
        <w:tc>
          <w:tcPr>
            <w:tcW w:type="dxa" w:w="3628"/>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Scale bị phóng đại để giảm NLL</w:t>
            </w:r>
          </w:p>
        </w:tc>
        <w:tc>
          <w:tcPr>
            <w:tcW w:type="dxa" w:w="6236"/>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Thêm robust location loss, scale regularization, validation calibration, ECE/Brier và equal-PF ablation.</w:t>
            </w:r>
          </w:p>
        </w:tc>
      </w:tr>
      <w:tr>
        <w:tc>
          <w:tcPr>
            <w:tcW w:type="dxa" w:w="3628"/>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Kết quả chỉ tốt ở một seed/case</w:t>
            </w:r>
          </w:p>
        </w:tc>
        <w:tc>
          <w:tcPr>
            <w:tcW w:type="dxa" w:w="6236"/>
            <w:vAlign w:val="center"/>
            <w:tcMar>
              <w:top w:w="50" w:type="dxa"/>
              <w:start w:w="70" w:type="dxa"/>
              <w:bottom w:w="50" w:type="dxa"/>
              <w:end w:w="70" w:type="dxa"/>
            </w:tcMar>
          </w:tcPr>
          <w:p>
            <w:pPr>
              <w:keepLines/>
              <w:spacing w:after="0" w:line="240" w:lineRule="auto"/>
              <w:jc w:val="left"/>
            </w:pPr>
            <w:r>
              <w:rPr>
                <w:rFonts w:ascii="Times New Roman" w:hAnsi="Times New Roman" w:eastAsia="Times New Roman"/>
                <w:b w:val="0"/>
                <w:i w:val="0"/>
                <w:sz w:val="16"/>
              </w:rPr>
              <w:t>Tối thiểu 5 seed, 3 case, paired statistics và công bố failure cases.</w:t>
            </w:r>
          </w:p>
        </w:tc>
      </w:tr>
    </w:tbl>
    <w:p>
      <w:pPr>
        <w:spacing w:after="0"/>
      </w:pPr>
    </w:p>
    <w:p>
      <w:r>
        <w:rPr>
          <w:rFonts w:ascii="Times New Roman" w:hAnsi="Times New Roman" w:eastAsia="Times New Roman"/>
        </w:rPr>
        <w:br w:type="page"/>
      </w:r>
    </w:p>
    <w:p>
      <w:pPr>
        <w:pStyle w:val="Heading1"/>
        <w:keepNext/>
        <w:spacing w:before="60" w:after="30"/>
      </w:pPr>
      <w:r>
        <w:rPr>
          <w:rFonts w:ascii="Times New Roman" w:hAnsi="Times New Roman" w:eastAsia="Times New Roman"/>
          <w:b/>
          <w:i w:val="0"/>
          <w:sz w:val="23"/>
        </w:rPr>
        <w:t>11. Sản phẩm cần nộp</w:t>
      </w:r>
    </w:p>
    <w:p>
      <w:pPr>
        <w:pStyle w:val="ListBullet"/>
        <w:spacing w:after="10" w:line="240" w:lineRule="auto"/>
        <w:jc w:val="both"/>
      </w:pPr>
      <w:r>
        <w:rPr>
          <w:rFonts w:ascii="Times New Roman" w:hAnsi="Times New Roman" w:eastAsia="Times New Roman"/>
          <w:b w:val="0"/>
          <w:i w:val="0"/>
        </w:rPr>
        <w:t>Báo cáo đồ án và slide trình bày, phân biệt rõ kết quả mô phỏng và dữ liệu thực.</w:t>
      </w:r>
    </w:p>
    <w:p>
      <w:pPr>
        <w:pStyle w:val="ListBullet"/>
        <w:spacing w:after="10" w:line="240" w:lineRule="auto"/>
        <w:jc w:val="both"/>
      </w:pPr>
      <w:r>
        <w:rPr>
          <w:rFonts w:ascii="Times New Roman" w:hAnsi="Times New Roman" w:eastAsia="Times New Roman"/>
          <w:b w:val="0"/>
          <w:i w:val="0"/>
        </w:rPr>
        <w:t>Mã nguồn Python/PyTorch, requirements/pyproject, YAML cấu hình, test tự động và script Windows/Linux.</w:t>
      </w:r>
    </w:p>
    <w:p>
      <w:pPr>
        <w:pStyle w:val="ListBullet"/>
        <w:spacing w:after="10" w:line="240" w:lineRule="auto"/>
        <w:jc w:val="both"/>
      </w:pPr>
      <w:r>
        <w:rPr>
          <w:rFonts w:ascii="Times New Roman" w:hAnsi="Times New Roman" w:eastAsia="Times New Roman"/>
          <w:b w:val="0"/>
          <w:i w:val="0"/>
        </w:rPr>
        <w:t>Dữ liệu demo, adapter dữ liệu gốc, checkpoint, raw CSV, summary, statistical tests và các đồ thị minh chứng.</w:t>
      </w:r>
    </w:p>
    <w:p>
      <w:pPr>
        <w:pStyle w:val="ListBullet"/>
        <w:spacing w:after="10" w:line="240" w:lineRule="auto"/>
        <w:jc w:val="both"/>
      </w:pPr>
      <w:r>
        <w:rPr>
          <w:rFonts w:ascii="Times New Roman" w:hAnsi="Times New Roman" w:eastAsia="Times New Roman"/>
          <w:b w:val="0"/>
          <w:i w:val="0"/>
        </w:rPr>
        <w:t>Tài liệu phương pháp, protocol thực nghiệm, hướng dẫn tái lập bài báo và hướng dẫn chạy demo.</w:t>
      </w:r>
    </w:p>
    <w:p>
      <w:pPr>
        <w:pStyle w:val="Heading1"/>
        <w:keepNext/>
        <w:spacing w:before="60" w:after="30"/>
      </w:pPr>
      <w:r>
        <w:rPr>
          <w:rFonts w:ascii="Times New Roman" w:hAnsi="Times New Roman" w:eastAsia="Times New Roman"/>
          <w:b/>
          <w:i w:val="0"/>
          <w:sz w:val="23"/>
        </w:rPr>
        <w:t>12. Tài liệu tham khảo</w:t>
      </w:r>
    </w:p>
    <w:p>
      <w:pPr>
        <w:spacing w:after="20" w:line="245" w:lineRule="auto"/>
        <w:ind w:left="0" w:firstLine="0"/>
        <w:jc w:val="both"/>
      </w:pPr>
      <w:r>
        <w:rPr>
          <w:rFonts w:ascii="Times New Roman" w:hAnsi="Times New Roman" w:eastAsia="Times New Roman"/>
          <w:b w:val="0"/>
          <w:i w:val="0"/>
        </w:rPr>
        <w:t>[1] C. Li, E. Tanghe, J. Fontaine, L. Martens, J. Romme, G. Singh, E. De Poorter, and W. Joseph, “Multi-Static UWB Radar-based Passive Human Tracking Using COTS Devices,” IEEE Antennas and Wireless Propagation Letters, vol. 21, no. 4, pp. 695–699, 2022, doi: 10.1109/LAWP.2022.3141869.</w:t>
      </w:r>
    </w:p>
    <w:p>
      <w:pPr>
        <w:spacing w:after="20" w:line="245" w:lineRule="auto"/>
        <w:ind w:left="0" w:firstLine="0"/>
        <w:jc w:val="both"/>
      </w:pPr>
      <w:r>
        <w:rPr>
          <w:rFonts w:ascii="Times New Roman" w:hAnsi="Times New Roman" w:eastAsia="Times New Roman"/>
          <w:b w:val="0"/>
          <w:i w:val="0"/>
        </w:rPr>
        <w:t>[2] CLongLi, “UWB-Radar-Pedestrian-Tracking,” official MATLAB repository, https://github.com/CLongLi/UWB-Radar-Pedestrian-Tracking.</w:t>
      </w:r>
    </w:p>
    <w:p>
      <w:pPr>
        <w:spacing w:after="20" w:line="245" w:lineRule="auto"/>
        <w:ind w:left="0" w:firstLine="0"/>
        <w:jc w:val="both"/>
      </w:pPr>
      <w:r>
        <w:rPr>
          <w:rFonts w:ascii="Times New Roman" w:hAnsi="Times New Roman" w:eastAsia="Times New Roman"/>
          <w:b w:val="0"/>
          <w:i w:val="0"/>
        </w:rPr>
        <w:t>[3] A. Ledergerber and R. D’Andrea, “A multi-static radar network with ultra-wideband radio-equipped devices,” Sensors, vol. 20, no. 6, 2020.</w:t>
      </w:r>
    </w:p>
    <w:p>
      <w:pPr>
        <w:spacing w:after="20" w:line="245" w:lineRule="auto"/>
        <w:ind w:left="0" w:firstLine="0"/>
        <w:jc w:val="both"/>
      </w:pPr>
      <w:r>
        <w:rPr>
          <w:rFonts w:ascii="Times New Roman" w:hAnsi="Times New Roman" w:eastAsia="Times New Roman"/>
          <w:b w:val="0"/>
          <w:i w:val="0"/>
        </w:rPr>
        <w:t>[4] F. Gustafsson et al., “Particle filters for positioning, navigation, and tracking,” IEEE Transactions on Signal Processing, vol. 50, no. 2, pp. 425–437, 2002.</w:t>
      </w:r>
    </w:p>
    <w:p>
      <w:pPr>
        <w:spacing w:after="20" w:line="245" w:lineRule="auto"/>
        <w:ind w:left="0" w:firstLine="0"/>
        <w:jc w:val="both"/>
      </w:pPr>
      <w:r>
        <w:rPr>
          <w:rFonts w:ascii="Times New Roman" w:hAnsi="Times New Roman" w:eastAsia="Times New Roman"/>
          <w:b w:val="0"/>
          <w:i w:val="0"/>
        </w:rPr>
        <w:t>[5] K. He, X. Zhang, S. Ren, and J. Sun, “Deep residual learning for image recognition,” Proc. CVPR, pp. 770–778, 2016.</w:t>
      </w:r>
    </w:p>
    <w:p>
      <w:pPr>
        <w:spacing w:after="30" w:line="245" w:lineRule="auto"/>
        <w:jc w:val="both"/>
      </w:pPr>
      <w:r>
        <w:rPr>
          <w:rFonts w:ascii="Times New Roman" w:hAnsi="Times New Roman" w:eastAsia="Times New Roman"/>
          <w:b w:val="0"/>
          <w:i w:val="0"/>
        </w:rPr>
        <w:t>Ghi chú về liêm chính học thuật. Mọi số liệu từ bài báo được trích dẫn; số liệu sinh bởi repository sẽ được ghi rõ cấu hình, seed, dataset và trạng thái synthetic/real. Không tuyên bố vượt baseline thực tế nếu chưa chạy trên dữ liệu thí nghiệm phù hợp.</w:t>
      </w:r>
    </w:p>
    <w:sectPr w:rsidR="00FC693F" w:rsidRPr="0006063C" w:rsidSect="00034616">
      <w:headerReference w:type="default" r:id="rId9"/>
      <w:footerReference w:type="default" r:id="rId10"/>
      <w:pgSz w:w="11906" w:h="16838"/>
      <w:pgMar w:top="765" w:right="879" w:bottom="709" w:left="879"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i w:val="0"/>
        <w:sz w:val="17"/>
      </w:rPr>
      <w:t>ĐỀ CƯƠNG ĐỒ ÁN MÔN HỌC – HỌC KỲ 262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5" w:lineRule="auto" w:after="30"/>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19"/>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