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d4664af5a10bea4098db52e93318349c37cde4"/>
    <w:p>
      <w:pPr>
        <w:pStyle w:val="Heading1"/>
      </w:pPr>
      <w:r>
        <w:t xml:space="preserve">External Reference Library for Credit Analysts</w:t>
      </w:r>
    </w:p>
    <w:p>
      <w:pPr>
        <w:pStyle w:val="FirstParagraph"/>
      </w:pPr>
      <w:r>
        <w:t xml:space="preserve">The External Reference Library provides a curated collection of high-quality sources that credit analysts can use to deepen their understanding of counterparties, industries, markets, regulations and documentation.</w:t>
      </w:r>
    </w:p>
    <w:p>
      <w:pPr>
        <w:pStyle w:val="BodyText"/>
      </w:pPr>
      <w:r>
        <w:t xml:space="preserve">The objective is to create a permanent reference library that supports:</w:t>
      </w:r>
    </w:p>
    <w:p>
      <w:pPr>
        <w:pStyle w:val="Compact"/>
        <w:numPr>
          <w:ilvl w:val="0"/>
          <w:numId w:val="1001"/>
        </w:numPr>
      </w:pPr>
      <w:r>
        <w:t xml:space="preserve">Annual reviews.</w:t>
      </w:r>
    </w:p>
    <w:p>
      <w:pPr>
        <w:pStyle w:val="Compact"/>
        <w:numPr>
          <w:ilvl w:val="0"/>
          <w:numId w:val="1001"/>
        </w:numPr>
      </w:pPr>
      <w:r>
        <w:t xml:space="preserve">Counterparty reviews.</w:t>
      </w:r>
    </w:p>
    <w:p>
      <w:pPr>
        <w:pStyle w:val="Compact"/>
        <w:numPr>
          <w:ilvl w:val="0"/>
          <w:numId w:val="1001"/>
        </w:numPr>
      </w:pPr>
      <w:r>
        <w:t xml:space="preserve">New transactions.</w:t>
      </w:r>
    </w:p>
    <w:p>
      <w:pPr>
        <w:pStyle w:val="Compact"/>
        <w:numPr>
          <w:ilvl w:val="0"/>
          <w:numId w:val="1001"/>
        </w:numPr>
      </w:pPr>
      <w:r>
        <w:t xml:space="preserve">Documentation analysis.</w:t>
      </w:r>
    </w:p>
    <w:p>
      <w:pPr>
        <w:pStyle w:val="Compact"/>
        <w:numPr>
          <w:ilvl w:val="0"/>
          <w:numId w:val="1001"/>
        </w:numPr>
      </w:pPr>
      <w:r>
        <w:t xml:space="preserve">Industry research.</w:t>
      </w:r>
    </w:p>
    <w:p>
      <w:pPr>
        <w:pStyle w:val="Compact"/>
        <w:numPr>
          <w:ilvl w:val="0"/>
          <w:numId w:val="1001"/>
        </w:numPr>
      </w:pPr>
      <w:r>
        <w:t xml:space="preserve">Credit papers.</w:t>
      </w:r>
    </w:p>
    <w:p>
      <w:pPr>
        <w:pStyle w:val="Compact"/>
        <w:numPr>
          <w:ilvl w:val="0"/>
          <w:numId w:val="1001"/>
        </w:numPr>
      </w:pPr>
      <w:r>
        <w:t xml:space="preserve">Financial modelling.</w:t>
      </w:r>
    </w:p>
    <w:p>
      <w:pPr>
        <w:pStyle w:val="Compact"/>
        <w:numPr>
          <w:ilvl w:val="0"/>
          <w:numId w:val="1001"/>
        </w:numPr>
      </w:pPr>
      <w:r>
        <w:t xml:space="preserve">Training and development.</w:t>
      </w:r>
    </w:p>
    <w:p>
      <w:pPr>
        <w:pStyle w:val="FirstParagraph"/>
      </w:pPr>
      <w:r>
        <w:t xml:space="preserve">The sources listed here represent many of the same references used by investment banks, rating agencies and institutional investors.</w:t>
      </w:r>
    </w:p>
    <w:p>
      <w:r>
        <w:pict>
          <v:rect style="width:0;height:1.5pt" o:hralign="center" o:hrstd="t" o:hr="t"/>
        </w:pict>
      </w:r>
    </w:p>
    <w:bookmarkEnd w:id="20"/>
    <w:bookmarkStart w:id="21" w:name="first-recommendation-go-to-the-source"/>
    <w:p>
      <w:pPr>
        <w:pStyle w:val="Heading1"/>
      </w:pPr>
      <w:r>
        <w:t xml:space="preserve">First Recommendation: Go to the Source</w:t>
      </w:r>
    </w:p>
    <w:p>
      <w:pPr>
        <w:pStyle w:val="FirstParagraph"/>
      </w:pPr>
      <w:r>
        <w:t xml:space="preserve">When researching a topic, always prioritise primary sources.</w:t>
      </w:r>
    </w:p>
    <w:p>
      <w:pPr>
        <w:pStyle w:val="BodyText"/>
      </w:pPr>
      <w:r>
        <w:t xml:space="preserve">Preferred order:</w:t>
      </w:r>
    </w:p>
    <w:p>
      <w:pPr>
        <w:pStyle w:val="Compact"/>
        <w:numPr>
          <w:ilvl w:val="0"/>
          <w:numId w:val="1002"/>
        </w:numPr>
      </w:pPr>
      <w:r>
        <w:t xml:space="preserve">Company disclosures.</w:t>
      </w:r>
    </w:p>
    <w:p>
      <w:pPr>
        <w:pStyle w:val="Compact"/>
        <w:numPr>
          <w:ilvl w:val="0"/>
          <w:numId w:val="1002"/>
        </w:numPr>
      </w:pPr>
      <w:r>
        <w:t xml:space="preserve">Debt documents.</w:t>
      </w:r>
    </w:p>
    <w:p>
      <w:pPr>
        <w:pStyle w:val="Compact"/>
        <w:numPr>
          <w:ilvl w:val="0"/>
          <w:numId w:val="1002"/>
        </w:numPr>
      </w:pPr>
      <w:r>
        <w:t xml:space="preserve">Regulators.</w:t>
      </w:r>
    </w:p>
    <w:p>
      <w:pPr>
        <w:pStyle w:val="Compact"/>
        <w:numPr>
          <w:ilvl w:val="0"/>
          <w:numId w:val="1002"/>
        </w:numPr>
      </w:pPr>
      <w:r>
        <w:t xml:space="preserve">Rating agencies.</w:t>
      </w:r>
    </w:p>
    <w:p>
      <w:pPr>
        <w:pStyle w:val="Compact"/>
        <w:numPr>
          <w:ilvl w:val="0"/>
          <w:numId w:val="1002"/>
        </w:numPr>
      </w:pPr>
      <w:r>
        <w:t xml:space="preserve">Central banks.</w:t>
      </w:r>
    </w:p>
    <w:p>
      <w:pPr>
        <w:pStyle w:val="Compact"/>
        <w:numPr>
          <w:ilvl w:val="0"/>
          <w:numId w:val="1002"/>
        </w:numPr>
      </w:pPr>
      <w:r>
        <w:t xml:space="preserve">International organisations.</w:t>
      </w:r>
    </w:p>
    <w:p>
      <w:pPr>
        <w:pStyle w:val="Compact"/>
        <w:numPr>
          <w:ilvl w:val="0"/>
          <w:numId w:val="1002"/>
        </w:numPr>
      </w:pPr>
      <w:r>
        <w:t xml:space="preserve">Specialist industry sources.</w:t>
      </w:r>
    </w:p>
    <w:p>
      <w:pPr>
        <w:pStyle w:val="Compact"/>
        <w:numPr>
          <w:ilvl w:val="0"/>
          <w:numId w:val="1002"/>
        </w:numPr>
      </w:pPr>
      <w:r>
        <w:t xml:space="preserve">News articles.</w:t>
      </w:r>
    </w:p>
    <w:p>
      <w:pPr>
        <w:pStyle w:val="FirstParagraph"/>
      </w:pPr>
      <w:r>
        <w:t xml:space="preserve">Avoid relying solely on secondary summaries.</w:t>
      </w:r>
    </w:p>
    <w:p>
      <w:r>
        <w:pict>
          <v:rect style="width:0;height:1.5pt" o:hralign="center" o:hrstd="t" o:hr="t"/>
        </w:pict>
      </w:r>
    </w:p>
    <w:bookmarkEnd w:id="21"/>
    <w:bookmarkStart w:id="22" w:name="suggested-structure"/>
    <w:p>
      <w:pPr>
        <w:pStyle w:val="Heading1"/>
      </w:pPr>
      <w:r>
        <w:t xml:space="preserve">Suggested Structure</w:t>
      </w:r>
    </w:p>
    <w:p>
      <w:pPr>
        <w:pStyle w:val="SourceCode"/>
      </w:pPr>
      <w:r>
        <w:rPr>
          <w:rStyle w:val="VerbatimChar"/>
        </w:rPr>
        <w:t xml:space="preserve">External Reference Library</w:t>
      </w:r>
      <w:r>
        <w:br/>
      </w:r>
      <w:r>
        <w:br/>
      </w:r>
      <w:r>
        <w:rPr>
          <w:rStyle w:val="VerbatimChar"/>
        </w:rPr>
        <w:t xml:space="preserve">├── SEC Filing Examples</w:t>
      </w:r>
      <w:r>
        <w:br/>
      </w:r>
      <w:r>
        <w:rPr>
          <w:rStyle w:val="VerbatimChar"/>
        </w:rPr>
        <w:t xml:space="preserve">├── ISDA Examples</w:t>
      </w:r>
      <w:r>
        <w:br/>
      </w:r>
      <w:r>
        <w:rPr>
          <w:rStyle w:val="VerbatimChar"/>
        </w:rPr>
        <w:t xml:space="preserve">├── Mining Company Annual Reports</w:t>
      </w:r>
      <w:r>
        <w:br/>
      </w:r>
      <w:r>
        <w:rPr>
          <w:rStyle w:val="VerbatimChar"/>
        </w:rPr>
        <w:t xml:space="preserve">├── Credit Agency Methodologies</w:t>
      </w:r>
      <w:r>
        <w:br/>
      </w:r>
      <w:r>
        <w:rPr>
          <w:rStyle w:val="VerbatimChar"/>
        </w:rPr>
        <w:t xml:space="preserve">├── BIS Publications</w:t>
      </w:r>
      <w:r>
        <w:br/>
      </w:r>
      <w:r>
        <w:rPr>
          <w:rStyle w:val="VerbatimChar"/>
        </w:rPr>
        <w:t xml:space="preserve">├── APRA Guidance</w:t>
      </w:r>
      <w:r>
        <w:br/>
      </w:r>
      <w:r>
        <w:rPr>
          <w:rStyle w:val="VerbatimChar"/>
        </w:rPr>
        <w:t xml:space="preserve">├── OECD Resources</w:t>
      </w:r>
      <w:r>
        <w:br/>
      </w:r>
      <w:r>
        <w:rPr>
          <w:rStyle w:val="VerbatimChar"/>
        </w:rPr>
        <w:t xml:space="preserve">├── IMF Resources</w:t>
      </w:r>
      <w:r>
        <w:br/>
      </w:r>
      <w:r>
        <w:rPr>
          <w:rStyle w:val="VerbatimChar"/>
        </w:rPr>
        <w:t xml:space="preserve">├── World Bank Resources</w:t>
      </w:r>
      <w:r>
        <w:br/>
      </w:r>
      <w:r>
        <w:rPr>
          <w:rStyle w:val="VerbatimChar"/>
        </w:rPr>
        <w:t xml:space="preserve">├── Commodity Research Resources</w:t>
      </w:r>
      <w:r>
        <w:br/>
      </w:r>
      <w:r>
        <w:rPr>
          <w:rStyle w:val="VerbatimChar"/>
        </w:rPr>
        <w:t xml:space="preserve">├── Central Banks</w:t>
      </w:r>
      <w:r>
        <w:br/>
      </w:r>
      <w:r>
        <w:rPr>
          <w:rStyle w:val="VerbatimChar"/>
        </w:rPr>
        <w:t xml:space="preserve">├── Industry Bodies</w:t>
      </w:r>
      <w:r>
        <w:br/>
      </w:r>
      <w:r>
        <w:rPr>
          <w:rStyle w:val="VerbatimChar"/>
        </w:rPr>
        <w:t xml:space="preserve">├── Debt Market Resources</w:t>
      </w:r>
      <w:r>
        <w:br/>
      </w:r>
      <w:r>
        <w:rPr>
          <w:rStyle w:val="VerbatimChar"/>
        </w:rPr>
        <w:t xml:space="preserve">├── Legal Documentation Examples</w:t>
      </w:r>
      <w:r>
        <w:br/>
      </w:r>
      <w:r>
        <w:rPr>
          <w:rStyle w:val="VerbatimChar"/>
        </w:rPr>
        <w:t xml:space="preserve">├── Economic Data Sources</w:t>
      </w:r>
      <w:r>
        <w:br/>
      </w:r>
      <w:r>
        <w:rPr>
          <w:rStyle w:val="VerbatimChar"/>
        </w:rPr>
        <w:t xml:space="preserve">└── Other Reference Material</w:t>
      </w:r>
    </w:p>
    <w:p>
      <w:r>
        <w:pict>
          <v:rect style="width:0;height:1.5pt" o:hralign="center" o:hrstd="t" o:hr="t"/>
        </w:pict>
      </w:r>
    </w:p>
    <w:bookmarkEnd w:id="22"/>
    <w:bookmarkStart w:id="27" w:name="sec-filing-examples"/>
    <w:p>
      <w:pPr>
        <w:pStyle w:val="Heading1"/>
      </w:pPr>
      <w:r>
        <w:t xml:space="preserve">SEC Filing Examples</w:t>
      </w:r>
    </w:p>
    <w:p>
      <w:pPr>
        <w:pStyle w:val="FirstParagraph"/>
      </w:pPr>
      <w:r>
        <w:t xml:space="preserve">The SEC is one of the best sources of public documentation.</w:t>
      </w:r>
    </w:p>
    <w:p>
      <w:pPr>
        <w:pStyle w:val="BodyText"/>
      </w:pPr>
      <w:r>
        <w:t xml:space="preserve">Useful for:</w:t>
      </w:r>
    </w:p>
    <w:p>
      <w:pPr>
        <w:pStyle w:val="Compact"/>
        <w:numPr>
          <w:ilvl w:val="0"/>
          <w:numId w:val="1003"/>
        </w:numPr>
      </w:pPr>
      <w:r>
        <w:t xml:space="preserve">10-Ks.</w:t>
      </w:r>
    </w:p>
    <w:p>
      <w:pPr>
        <w:pStyle w:val="Compact"/>
        <w:numPr>
          <w:ilvl w:val="0"/>
          <w:numId w:val="1003"/>
        </w:numPr>
      </w:pPr>
      <w:r>
        <w:t xml:space="preserve">10-Qs.</w:t>
      </w:r>
    </w:p>
    <w:p>
      <w:pPr>
        <w:pStyle w:val="Compact"/>
        <w:numPr>
          <w:ilvl w:val="0"/>
          <w:numId w:val="1003"/>
        </w:numPr>
      </w:pPr>
      <w:r>
        <w:t xml:space="preserve">8-Ks.</w:t>
      </w:r>
    </w:p>
    <w:p>
      <w:pPr>
        <w:pStyle w:val="Compact"/>
        <w:numPr>
          <w:ilvl w:val="0"/>
          <w:numId w:val="1003"/>
        </w:numPr>
      </w:pPr>
      <w:r>
        <w:t xml:space="preserve">Debt documents.</w:t>
      </w:r>
    </w:p>
    <w:p>
      <w:pPr>
        <w:pStyle w:val="Compact"/>
        <w:numPr>
          <w:ilvl w:val="0"/>
          <w:numId w:val="1003"/>
        </w:numPr>
      </w:pPr>
      <w:r>
        <w:t xml:space="preserve">ISDA examples.</w:t>
      </w:r>
    </w:p>
    <w:p>
      <w:pPr>
        <w:pStyle w:val="Compact"/>
        <w:numPr>
          <w:ilvl w:val="0"/>
          <w:numId w:val="1003"/>
        </w:numPr>
      </w:pPr>
      <w:r>
        <w:t xml:space="preserve">Guarantees.</w:t>
      </w:r>
    </w:p>
    <w:p>
      <w:pPr>
        <w:pStyle w:val="Compact"/>
        <w:numPr>
          <w:ilvl w:val="0"/>
          <w:numId w:val="1003"/>
        </w:numPr>
      </w:pPr>
      <w:r>
        <w:t xml:space="preserve">Security agreements.</w:t>
      </w:r>
    </w:p>
    <w:bookmarkStart w:id="26" w:name="resources"/>
    <w:p>
      <w:pPr>
        <w:pStyle w:val="Heading2"/>
      </w:pPr>
      <w:r>
        <w:t xml:space="preserve">Resources</w:t>
      </w:r>
    </w:p>
    <w:bookmarkStart w:id="23" w:name="sec-edgar"/>
    <w:p>
      <w:pPr>
        <w:pStyle w:val="Heading3"/>
      </w:pPr>
      <w:r>
        <w:t xml:space="preserve">SEC EDGAR</w:t>
      </w:r>
    </w:p>
    <w:p>
      <w:pPr>
        <w:pStyle w:val="FirstParagraph"/>
      </w:pPr>
      <w:r>
        <w:t xml:space="preserve">https://www.sec.gov/edgar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23"/>
    <w:bookmarkStart w:id="24" w:name="sec-archives"/>
    <w:p>
      <w:pPr>
        <w:pStyle w:val="Heading3"/>
      </w:pPr>
      <w:r>
        <w:t xml:space="preserve">SEC Archives</w:t>
      </w:r>
    </w:p>
    <w:p>
      <w:pPr>
        <w:pStyle w:val="FirstParagraph"/>
      </w:pPr>
      <w:r>
        <w:t xml:space="preserve">https://www.sec.gov/Archives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24"/>
    <w:bookmarkStart w:id="25" w:name="company-filings-search"/>
    <w:p>
      <w:pPr>
        <w:pStyle w:val="Heading3"/>
      </w:pPr>
      <w:r>
        <w:t xml:space="preserve">Company Filings Search</w:t>
      </w:r>
    </w:p>
    <w:p>
      <w:pPr>
        <w:pStyle w:val="FirstParagraph"/>
      </w:pPr>
      <w:r>
        <w:t xml:space="preserve">https://www.sec.gov/search-filings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typical-documents"/>
    <w:p>
      <w:pPr>
        <w:pStyle w:val="Heading1"/>
      </w:pPr>
      <w:r>
        <w:t xml:space="preserve">Typical Documents</w:t>
      </w:r>
    </w:p>
    <w:p>
      <w:pPr>
        <w:pStyle w:val="Compact"/>
        <w:numPr>
          <w:ilvl w:val="0"/>
          <w:numId w:val="1004"/>
        </w:numPr>
      </w:pPr>
      <w:r>
        <w:t xml:space="preserve">Credit agreements.</w:t>
      </w:r>
    </w:p>
    <w:p>
      <w:pPr>
        <w:pStyle w:val="Compact"/>
        <w:numPr>
          <w:ilvl w:val="0"/>
          <w:numId w:val="1004"/>
        </w:numPr>
      </w:pPr>
      <w:r>
        <w:t xml:space="preserve">Indentures.</w:t>
      </w:r>
    </w:p>
    <w:p>
      <w:pPr>
        <w:pStyle w:val="Compact"/>
        <w:numPr>
          <w:ilvl w:val="0"/>
          <w:numId w:val="1004"/>
        </w:numPr>
      </w:pPr>
      <w:r>
        <w:t xml:space="preserve">ISDA Master Agreements.</w:t>
      </w:r>
    </w:p>
    <w:p>
      <w:pPr>
        <w:pStyle w:val="Compact"/>
        <w:numPr>
          <w:ilvl w:val="0"/>
          <w:numId w:val="1004"/>
        </w:numPr>
      </w:pPr>
      <w:r>
        <w:t xml:space="preserve">Security agreements.</w:t>
      </w:r>
    </w:p>
    <w:p>
      <w:pPr>
        <w:pStyle w:val="Compact"/>
        <w:numPr>
          <w:ilvl w:val="0"/>
          <w:numId w:val="1004"/>
        </w:numPr>
      </w:pPr>
      <w:r>
        <w:t xml:space="preserve">Guarantee agreements.</w:t>
      </w:r>
    </w:p>
    <w:p>
      <w:r>
        <w:pict>
          <v:rect style="width:0;height:1.5pt" o:hralign="center" o:hrstd="t" o:hr="t"/>
        </w:pict>
      </w:r>
    </w:p>
    <w:bookmarkEnd w:id="28"/>
    <w:bookmarkStart w:id="41" w:name="isda-examples"/>
    <w:p>
      <w:pPr>
        <w:pStyle w:val="Heading1"/>
      </w:pPr>
      <w:r>
        <w:t xml:space="preserve">ISDA Examples</w:t>
      </w:r>
    </w:p>
    <w:p>
      <w:pPr>
        <w:pStyle w:val="FirstParagraph"/>
      </w:pPr>
      <w:r>
        <w:t xml:space="preserve">ISDA documentation is difficult to obtain, making examples extremely valuable.</w:t>
      </w:r>
    </w:p>
    <w:bookmarkStart w:id="34" w:name="useful-documents"/>
    <w:p>
      <w:pPr>
        <w:pStyle w:val="Heading2"/>
      </w:pPr>
      <w:r>
        <w:t xml:space="preserve">Useful Documents</w:t>
      </w:r>
    </w:p>
    <w:bookmarkStart w:id="29" w:name="isda-master-agreement"/>
    <w:p>
      <w:pPr>
        <w:pStyle w:val="Heading3"/>
      </w:pPr>
      <w:r>
        <w:t xml:space="preserve">ISDA Master Agreement</w:t>
      </w:r>
    </w:p>
    <w:bookmarkEnd w:id="29"/>
    <w:bookmarkStart w:id="30" w:name="schedule"/>
    <w:p>
      <w:pPr>
        <w:pStyle w:val="Heading3"/>
      </w:pPr>
      <w:r>
        <w:t xml:space="preserve">Schedule</w:t>
      </w:r>
    </w:p>
    <w:bookmarkEnd w:id="30"/>
    <w:bookmarkStart w:id="31" w:name="credit-support-annex"/>
    <w:p>
      <w:pPr>
        <w:pStyle w:val="Heading3"/>
      </w:pPr>
      <w:r>
        <w:t xml:space="preserve">Credit Support Annex</w:t>
      </w:r>
    </w:p>
    <w:bookmarkEnd w:id="31"/>
    <w:bookmarkStart w:id="32" w:name="confirmations"/>
    <w:p>
      <w:pPr>
        <w:pStyle w:val="Heading3"/>
      </w:pPr>
      <w:r>
        <w:t xml:space="preserve">Confirmations</w:t>
      </w:r>
    </w:p>
    <w:bookmarkEnd w:id="32"/>
    <w:bookmarkStart w:id="33" w:name="definitions-booklets"/>
    <w:p>
      <w:pPr>
        <w:pStyle w:val="Heading3"/>
      </w:pPr>
      <w:r>
        <w:t xml:space="preserve">Definitions Booklets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resources-1"/>
    <w:p>
      <w:pPr>
        <w:pStyle w:val="Heading2"/>
      </w:pPr>
      <w:r>
        <w:t xml:space="preserve">Resources</w:t>
      </w:r>
    </w:p>
    <w:bookmarkStart w:id="35" w:name="isda"/>
    <w:p>
      <w:pPr>
        <w:pStyle w:val="Heading3"/>
      </w:pPr>
      <w:r>
        <w:t xml:space="preserve">ISDA</w:t>
      </w:r>
    </w:p>
    <w:p>
      <w:pPr>
        <w:pStyle w:val="FirstParagraph"/>
      </w:pPr>
      <w:r>
        <w:t xml:space="preserve">https://www.isda.org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35"/>
    <w:bookmarkStart w:id="36" w:name="isda-documentation-library"/>
    <w:p>
      <w:pPr>
        <w:pStyle w:val="Heading3"/>
      </w:pPr>
      <w:r>
        <w:t xml:space="preserve">ISDA Documentation Library</w:t>
      </w:r>
    </w:p>
    <w:p>
      <w:pPr>
        <w:pStyle w:val="FirstParagraph"/>
      </w:pPr>
      <w:r>
        <w:t xml:space="preserve">https://www.isda.org/book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36"/>
    <w:bookmarkStart w:id="37" w:name="sec-edgar-1"/>
    <w:p>
      <w:pPr>
        <w:pStyle w:val="Heading3"/>
      </w:pPr>
      <w:r>
        <w:t xml:space="preserve">SEC EDGAR</w:t>
      </w:r>
    </w:p>
    <w:p>
      <w:pPr>
        <w:pStyle w:val="FirstParagraph"/>
      </w:pPr>
      <w:r>
        <w:t xml:space="preserve">https://www.sec.gov/edgar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Many examples can be found in exhibits.</w:t>
      </w:r>
    </w:p>
    <w:p>
      <w:r>
        <w:pict>
          <v:rect style="width:0;height:1.5pt" o:hralign="center" o:hrstd="t" o:hr="t"/>
        </w:pict>
      </w:r>
    </w:p>
    <w:bookmarkEnd w:id="37"/>
    <w:bookmarkStart w:id="38" w:name="lsta"/>
    <w:p>
      <w:pPr>
        <w:pStyle w:val="Heading3"/>
      </w:pPr>
      <w:r>
        <w:t xml:space="preserve">LSTA</w:t>
      </w:r>
    </w:p>
    <w:p>
      <w:pPr>
        <w:pStyle w:val="FirstParagraph"/>
      </w:pPr>
      <w:r>
        <w:t xml:space="preserve">https://www.lsta.org</w:t>
      </w:r>
    </w:p>
    <w:p>
      <w:pPr>
        <w:pStyle w:val="BodyText"/>
      </w:pPr>
      <w:r>
        <w:t xml:space="preserve">★★★★☆</w:t>
      </w:r>
    </w:p>
    <w:p>
      <w:r>
        <w:pict>
          <v:rect style="width:0;height:1.5pt" o:hralign="center" o:hrstd="t" o:hr="t"/>
        </w:pict>
      </w:r>
    </w:p>
    <w:bookmarkEnd w:id="38"/>
    <w:bookmarkStart w:id="39" w:name="loan-market-association-lma"/>
    <w:p>
      <w:pPr>
        <w:pStyle w:val="Heading3"/>
      </w:pPr>
      <w:r>
        <w:t xml:space="preserve">Loan Market Association (LMA)</w:t>
      </w:r>
    </w:p>
    <w:p>
      <w:pPr>
        <w:pStyle w:val="FirstParagraph"/>
      </w:pPr>
      <w:r>
        <w:t xml:space="preserve">https://www.lma.eu.com</w:t>
      </w:r>
    </w:p>
    <w:p>
      <w:pPr>
        <w:pStyle w:val="BodyText"/>
      </w:pPr>
      <w:r>
        <w:t xml:space="preserve">★★★★☆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3" w:name="mining-company-annual-reports"/>
    <w:p>
      <w:pPr>
        <w:pStyle w:val="Heading1"/>
      </w:pPr>
      <w:r>
        <w:t xml:space="preserve">Mining Company Annual Reports</w:t>
      </w:r>
    </w:p>
    <w:p>
      <w:pPr>
        <w:pStyle w:val="FirstParagraph"/>
      </w:pPr>
      <w:r>
        <w:t xml:space="preserve">Annual reports are one of the best learning tools available.</w:t>
      </w:r>
    </w:p>
    <w:p>
      <w:pPr>
        <w:pStyle w:val="BodyText"/>
      </w:pPr>
      <w:r>
        <w:t xml:space="preserve">Analysts should read:</w:t>
      </w:r>
    </w:p>
    <w:p>
      <w:pPr>
        <w:pStyle w:val="Compact"/>
        <w:numPr>
          <w:ilvl w:val="0"/>
          <w:numId w:val="1005"/>
        </w:numPr>
      </w:pPr>
      <w:r>
        <w:t xml:space="preserve">Business descriptions.</w:t>
      </w:r>
    </w:p>
    <w:p>
      <w:pPr>
        <w:pStyle w:val="Compact"/>
        <w:numPr>
          <w:ilvl w:val="0"/>
          <w:numId w:val="1005"/>
        </w:numPr>
      </w:pPr>
      <w:r>
        <w:t xml:space="preserve">Commodity exposure.</w:t>
      </w:r>
    </w:p>
    <w:p>
      <w:pPr>
        <w:pStyle w:val="Compact"/>
        <w:numPr>
          <w:ilvl w:val="0"/>
          <w:numId w:val="1005"/>
        </w:numPr>
      </w:pPr>
      <w:r>
        <w:t xml:space="preserve">Risks.</w:t>
      </w:r>
    </w:p>
    <w:p>
      <w:pPr>
        <w:pStyle w:val="Compact"/>
        <w:numPr>
          <w:ilvl w:val="0"/>
          <w:numId w:val="1005"/>
        </w:numPr>
      </w:pPr>
      <w:r>
        <w:t xml:space="preserve">Liquidity.</w:t>
      </w:r>
    </w:p>
    <w:p>
      <w:pPr>
        <w:pStyle w:val="Compact"/>
        <w:numPr>
          <w:ilvl w:val="0"/>
          <w:numId w:val="1005"/>
        </w:numPr>
      </w:pPr>
      <w:r>
        <w:t xml:space="preserve">Debt structure.</w:t>
      </w:r>
    </w:p>
    <w:p>
      <w:pPr>
        <w:pStyle w:val="Compact"/>
        <w:numPr>
          <w:ilvl w:val="0"/>
          <w:numId w:val="1005"/>
        </w:numPr>
      </w:pPr>
      <w:r>
        <w:t xml:space="preserve">Hedging.</w:t>
      </w:r>
    </w:p>
    <w:p>
      <w:r>
        <w:pict>
          <v:rect style="width:0;height:1.5pt" o:hralign="center" o:hrstd="t" o:hr="t"/>
        </w:pict>
      </w:r>
    </w:p>
    <w:bookmarkStart w:id="52" w:name="recommended-companies"/>
    <w:p>
      <w:pPr>
        <w:pStyle w:val="Heading2"/>
      </w:pPr>
      <w:r>
        <w:t xml:space="preserve">Recommended Companies</w:t>
      </w:r>
    </w:p>
    <w:bookmarkStart w:id="42" w:name="bhp"/>
    <w:p>
      <w:pPr>
        <w:pStyle w:val="Heading3"/>
      </w:pPr>
      <w:r>
        <w:t xml:space="preserve">BHP</w:t>
      </w:r>
    </w:p>
    <w:p>
      <w:pPr>
        <w:pStyle w:val="FirstParagraph"/>
      </w:pPr>
      <w:r>
        <w:t xml:space="preserve">https://www.bhp.com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42"/>
    <w:bookmarkStart w:id="43" w:name="rio-tinto"/>
    <w:p>
      <w:pPr>
        <w:pStyle w:val="Heading3"/>
      </w:pPr>
      <w:r>
        <w:t xml:space="preserve">Rio Tinto</w:t>
      </w:r>
    </w:p>
    <w:p>
      <w:pPr>
        <w:pStyle w:val="FirstParagraph"/>
      </w:pPr>
      <w:r>
        <w:t xml:space="preserve">https://www.riotinto.com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43"/>
    <w:bookmarkStart w:id="44" w:name="south32"/>
    <w:p>
      <w:pPr>
        <w:pStyle w:val="Heading3"/>
      </w:pPr>
      <w:r>
        <w:t xml:space="preserve">South32</w:t>
      </w:r>
    </w:p>
    <w:p>
      <w:pPr>
        <w:pStyle w:val="FirstParagraph"/>
      </w:pPr>
      <w:r>
        <w:t xml:space="preserve">https://www.south32.net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44"/>
    <w:bookmarkStart w:id="45" w:name="glencore"/>
    <w:p>
      <w:pPr>
        <w:pStyle w:val="Heading3"/>
      </w:pPr>
      <w:r>
        <w:t xml:space="preserve">Glencore</w:t>
      </w:r>
    </w:p>
    <w:p>
      <w:pPr>
        <w:pStyle w:val="FirstParagraph"/>
      </w:pPr>
      <w:r>
        <w:t xml:space="preserve">https://www.glencore.com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45"/>
    <w:bookmarkStart w:id="46" w:name="anglo-american"/>
    <w:p>
      <w:pPr>
        <w:pStyle w:val="Heading3"/>
      </w:pPr>
      <w:r>
        <w:t xml:space="preserve">Anglo American</w:t>
      </w:r>
    </w:p>
    <w:p>
      <w:pPr>
        <w:pStyle w:val="FirstParagraph"/>
      </w:pPr>
      <w:r>
        <w:t xml:space="preserve">https://www.angloamerican.com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46"/>
    <w:bookmarkStart w:id="47" w:name="freeport-mcmoran"/>
    <w:p>
      <w:pPr>
        <w:pStyle w:val="Heading3"/>
      </w:pPr>
      <w:r>
        <w:t xml:space="preserve">Freeport-McMoRan</w:t>
      </w:r>
    </w:p>
    <w:p>
      <w:pPr>
        <w:pStyle w:val="FirstParagraph"/>
      </w:pPr>
      <w:r>
        <w:t xml:space="preserve">https://www.fcx.com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47"/>
    <w:bookmarkStart w:id="48" w:name="newmont"/>
    <w:p>
      <w:pPr>
        <w:pStyle w:val="Heading3"/>
      </w:pPr>
      <w:r>
        <w:t xml:space="preserve">Newmont</w:t>
      </w:r>
    </w:p>
    <w:p>
      <w:pPr>
        <w:pStyle w:val="FirstParagraph"/>
      </w:pPr>
      <w:r>
        <w:t xml:space="preserve">https://www.newmont.com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48"/>
    <w:bookmarkStart w:id="49" w:name="barrick"/>
    <w:p>
      <w:pPr>
        <w:pStyle w:val="Heading3"/>
      </w:pPr>
      <w:r>
        <w:t xml:space="preserve">Barrick</w:t>
      </w:r>
    </w:p>
    <w:p>
      <w:pPr>
        <w:pStyle w:val="FirstParagraph"/>
      </w:pPr>
      <w:r>
        <w:t xml:space="preserve">https://www.barrick.com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49"/>
    <w:bookmarkStart w:id="50" w:name="teck"/>
    <w:p>
      <w:pPr>
        <w:pStyle w:val="Heading3"/>
      </w:pPr>
      <w:r>
        <w:t xml:space="preserve">Teck</w:t>
      </w:r>
    </w:p>
    <w:p>
      <w:pPr>
        <w:pStyle w:val="FirstParagraph"/>
      </w:pPr>
      <w:r>
        <w:t xml:space="preserve">https://www.teck.com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50"/>
    <w:bookmarkStart w:id="51" w:name="vale"/>
    <w:p>
      <w:pPr>
        <w:pStyle w:val="Heading3"/>
      </w:pPr>
      <w:r>
        <w:t xml:space="preserve">Vale</w:t>
      </w:r>
    </w:p>
    <w:p>
      <w:pPr>
        <w:pStyle w:val="FirstParagraph"/>
      </w:pPr>
      <w:r>
        <w:t xml:space="preserve">https://www.vale.com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8" w:name="credit-agency-methodologies"/>
    <w:p>
      <w:pPr>
        <w:pStyle w:val="Heading1"/>
      </w:pPr>
      <w:r>
        <w:t xml:space="preserve">Credit Agency Methodologies</w:t>
      </w:r>
    </w:p>
    <w:p>
      <w:pPr>
        <w:pStyle w:val="FirstParagraph"/>
      </w:pPr>
      <w:r>
        <w:t xml:space="preserve">Probably one of the highest-value resources available.</w:t>
      </w:r>
    </w:p>
    <w:p>
      <w:pPr>
        <w:pStyle w:val="BodyText"/>
      </w:pPr>
      <w:r>
        <w:t xml:space="preserve">Methodologies explain how professional credit analysts think.</w:t>
      </w:r>
    </w:p>
    <w:p>
      <w:r>
        <w:pict>
          <v:rect style="width:0;height:1.5pt" o:hralign="center" o:hrstd="t" o:hr="t"/>
        </w:pict>
      </w:r>
    </w:p>
    <w:bookmarkStart w:id="54" w:name="moodys"/>
    <w:p>
      <w:pPr>
        <w:pStyle w:val="Heading2"/>
      </w:pPr>
      <w:r>
        <w:t xml:space="preserve">Moody’s</w:t>
      </w:r>
    </w:p>
    <w:p>
      <w:pPr>
        <w:pStyle w:val="FirstParagraph"/>
      </w:pPr>
      <w:r>
        <w:t xml:space="preserve">https://www.moodys.com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54"/>
    <w:bookmarkStart w:id="55" w:name="sp-global-ratings"/>
    <w:p>
      <w:pPr>
        <w:pStyle w:val="Heading2"/>
      </w:pPr>
      <w:r>
        <w:t xml:space="preserve">S&amp;P Global Ratings</w:t>
      </w:r>
    </w:p>
    <w:p>
      <w:pPr>
        <w:pStyle w:val="FirstParagraph"/>
      </w:pPr>
      <w:r>
        <w:t xml:space="preserve">https://www.spglobal.com/ratings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55"/>
    <w:bookmarkStart w:id="56" w:name="fitch-ratings"/>
    <w:p>
      <w:pPr>
        <w:pStyle w:val="Heading2"/>
      </w:pPr>
      <w:r>
        <w:t xml:space="preserve">Fitch Ratings</w:t>
      </w:r>
    </w:p>
    <w:p>
      <w:pPr>
        <w:pStyle w:val="FirstParagraph"/>
      </w:pPr>
      <w:r>
        <w:t xml:space="preserve">https://www.fitchratings.com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56"/>
    <w:bookmarkStart w:id="57" w:name="dbrs-morningstar"/>
    <w:p>
      <w:pPr>
        <w:pStyle w:val="Heading2"/>
      </w:pPr>
      <w:r>
        <w:t xml:space="preserve">DBRS Morningstar</w:t>
      </w:r>
    </w:p>
    <w:p>
      <w:pPr>
        <w:pStyle w:val="FirstParagraph"/>
      </w:pPr>
      <w:r>
        <w:t xml:space="preserve">https://dbrs.morningstar.com</w:t>
      </w:r>
    </w:p>
    <w:p>
      <w:pPr>
        <w:pStyle w:val="BodyText"/>
      </w:pPr>
      <w:r>
        <w:t xml:space="preserve">★★★★☆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topics"/>
    <w:p>
      <w:pPr>
        <w:pStyle w:val="Heading1"/>
      </w:pPr>
      <w:r>
        <w:t xml:space="preserve">Topics</w:t>
      </w:r>
    </w:p>
    <w:p>
      <w:pPr>
        <w:pStyle w:val="Compact"/>
        <w:numPr>
          <w:ilvl w:val="0"/>
          <w:numId w:val="1006"/>
        </w:numPr>
      </w:pPr>
      <w:r>
        <w:t xml:space="preserve">Mining.</w:t>
      </w:r>
    </w:p>
    <w:p>
      <w:pPr>
        <w:pStyle w:val="Compact"/>
        <w:numPr>
          <w:ilvl w:val="0"/>
          <w:numId w:val="1006"/>
        </w:numPr>
      </w:pPr>
      <w:r>
        <w:t xml:space="preserve">Commodity traders.</w:t>
      </w:r>
    </w:p>
    <w:p>
      <w:pPr>
        <w:pStyle w:val="Compact"/>
        <w:numPr>
          <w:ilvl w:val="0"/>
          <w:numId w:val="1006"/>
        </w:numPr>
      </w:pPr>
      <w:r>
        <w:t xml:space="preserve">Oil and gas.</w:t>
      </w:r>
    </w:p>
    <w:p>
      <w:pPr>
        <w:pStyle w:val="Compact"/>
        <w:numPr>
          <w:ilvl w:val="0"/>
          <w:numId w:val="1006"/>
        </w:numPr>
      </w:pPr>
      <w:r>
        <w:t xml:space="preserve">Utilities.</w:t>
      </w:r>
    </w:p>
    <w:p>
      <w:pPr>
        <w:pStyle w:val="Compact"/>
        <w:numPr>
          <w:ilvl w:val="0"/>
          <w:numId w:val="1006"/>
        </w:numPr>
      </w:pPr>
      <w:r>
        <w:t xml:space="preserve">Infrastructure.</w:t>
      </w:r>
    </w:p>
    <w:p>
      <w:pPr>
        <w:pStyle w:val="Compact"/>
        <w:numPr>
          <w:ilvl w:val="0"/>
          <w:numId w:val="1006"/>
        </w:numPr>
      </w:pPr>
      <w:r>
        <w:t xml:space="preserve">Banks.</w:t>
      </w:r>
    </w:p>
    <w:p>
      <w:r>
        <w:pict>
          <v:rect style="width:0;height:1.5pt" o:hralign="center" o:hrstd="t" o:hr="t"/>
        </w:pict>
      </w:r>
    </w:p>
    <w:bookmarkEnd w:id="59"/>
    <w:bookmarkStart w:id="64" w:name="bis-publications"/>
    <w:p>
      <w:pPr>
        <w:pStyle w:val="Heading1"/>
      </w:pPr>
      <w:r>
        <w:t xml:space="preserve">BIS Publications</w:t>
      </w:r>
    </w:p>
    <w:p>
      <w:pPr>
        <w:pStyle w:val="FirstParagraph"/>
      </w:pPr>
      <w:r>
        <w:t xml:space="preserve">The Bank for International Settlements is one of the best sources for banking and risk topics.</w:t>
      </w:r>
    </w:p>
    <w:p>
      <w:r>
        <w:pict>
          <v:rect style="width:0;height:1.5pt" o:hralign="center" o:hrstd="t" o:hr="t"/>
        </w:pict>
      </w:r>
    </w:p>
    <w:bookmarkStart w:id="60" w:name="bis"/>
    <w:p>
      <w:pPr>
        <w:pStyle w:val="Heading2"/>
      </w:pPr>
      <w:r>
        <w:t xml:space="preserve">BIS</w:t>
      </w:r>
    </w:p>
    <w:p>
      <w:pPr>
        <w:pStyle w:val="FirstParagraph"/>
      </w:pPr>
      <w:r>
        <w:t xml:space="preserve">https://www.bis.org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60"/>
    <w:bookmarkStart w:id="61" w:name="basel-framework"/>
    <w:p>
      <w:pPr>
        <w:pStyle w:val="Heading2"/>
      </w:pPr>
      <w:r>
        <w:t xml:space="preserve">Basel Framework</w:t>
      </w:r>
    </w:p>
    <w:p>
      <w:pPr>
        <w:pStyle w:val="FirstParagraph"/>
      </w:pPr>
      <w:r>
        <w:t xml:space="preserve">https://www.bis.org/basel_framework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61"/>
    <w:bookmarkStart w:id="62" w:name="bis-quarterly-review"/>
    <w:p>
      <w:pPr>
        <w:pStyle w:val="Heading2"/>
      </w:pPr>
      <w:r>
        <w:t xml:space="preserve">BIS Quarterly Review</w:t>
      </w:r>
    </w:p>
    <w:p>
      <w:pPr>
        <w:pStyle w:val="FirstParagraph"/>
      </w:pPr>
      <w:r>
        <w:t xml:space="preserve">https://www.bis.org/publ/qtrpdf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62"/>
    <w:bookmarkStart w:id="63" w:name="topics-1"/>
    <w:p>
      <w:pPr>
        <w:pStyle w:val="Heading2"/>
      </w:pPr>
      <w:r>
        <w:t xml:space="preserve">Topics</w:t>
      </w:r>
    </w:p>
    <w:p>
      <w:pPr>
        <w:pStyle w:val="Compact"/>
        <w:numPr>
          <w:ilvl w:val="0"/>
          <w:numId w:val="1007"/>
        </w:numPr>
      </w:pPr>
      <w:r>
        <w:t xml:space="preserve">Credit risk.</w:t>
      </w:r>
    </w:p>
    <w:p>
      <w:pPr>
        <w:pStyle w:val="Compact"/>
        <w:numPr>
          <w:ilvl w:val="0"/>
          <w:numId w:val="1007"/>
        </w:numPr>
      </w:pPr>
      <w:r>
        <w:t xml:space="preserve">Liquidity.</w:t>
      </w:r>
    </w:p>
    <w:p>
      <w:pPr>
        <w:pStyle w:val="Compact"/>
        <w:numPr>
          <w:ilvl w:val="0"/>
          <w:numId w:val="1007"/>
        </w:numPr>
      </w:pPr>
      <w:r>
        <w:t xml:space="preserve">Basel.</w:t>
      </w:r>
    </w:p>
    <w:p>
      <w:pPr>
        <w:pStyle w:val="Compact"/>
        <w:numPr>
          <w:ilvl w:val="0"/>
          <w:numId w:val="1007"/>
        </w:numPr>
      </w:pPr>
      <w:r>
        <w:t xml:space="preserve">Capital.</w:t>
      </w:r>
    </w:p>
    <w:p>
      <w:pPr>
        <w:pStyle w:val="Compact"/>
        <w:numPr>
          <w:ilvl w:val="0"/>
          <w:numId w:val="1007"/>
        </w:numPr>
      </w:pPr>
      <w:r>
        <w:t xml:space="preserve">Market risk.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apra-guidance"/>
    <w:p>
      <w:pPr>
        <w:pStyle w:val="Heading1"/>
      </w:pPr>
      <w:r>
        <w:t xml:space="preserve">APRA Guidance</w:t>
      </w:r>
    </w:p>
    <w:p>
      <w:pPr>
        <w:pStyle w:val="FirstParagraph"/>
      </w:pPr>
      <w:r>
        <w:t xml:space="preserve">Very important for Australian banks.</w:t>
      </w:r>
    </w:p>
    <w:p>
      <w:r>
        <w:pict>
          <v:rect style="width:0;height:1.5pt" o:hralign="center" o:hrstd="t" o:hr="t"/>
        </w:pict>
      </w:r>
    </w:p>
    <w:bookmarkStart w:id="65" w:name="apra"/>
    <w:p>
      <w:pPr>
        <w:pStyle w:val="Heading2"/>
      </w:pPr>
      <w:r>
        <w:t xml:space="preserve">APRA</w:t>
      </w:r>
    </w:p>
    <w:p>
      <w:pPr>
        <w:pStyle w:val="FirstParagraph"/>
      </w:pPr>
      <w:r>
        <w:t xml:space="preserve">https://www.apra.gov.au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65"/>
    <w:bookmarkStart w:id="66" w:name="prudential-standards"/>
    <w:p>
      <w:pPr>
        <w:pStyle w:val="Heading2"/>
      </w:pPr>
      <w:r>
        <w:t xml:space="preserve">Prudential Standards</w:t>
      </w:r>
    </w:p>
    <w:p>
      <w:pPr>
        <w:pStyle w:val="FirstParagraph"/>
      </w:pPr>
      <w:r>
        <w:t xml:space="preserve">https://www.apra.gov.au/prudential-standards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66"/>
    <w:bookmarkStart w:id="67" w:name="aps-112"/>
    <w:p>
      <w:pPr>
        <w:pStyle w:val="Heading2"/>
      </w:pPr>
      <w:r>
        <w:t xml:space="preserve">APS 112</w:t>
      </w:r>
    </w:p>
    <w:p>
      <w:pPr>
        <w:pStyle w:val="FirstParagraph"/>
      </w:pPr>
      <w:r>
        <w:t xml:space="preserve">Capital adequacy.</w:t>
      </w:r>
    </w:p>
    <w:p>
      <w:r>
        <w:pict>
          <v:rect style="width:0;height:1.5pt" o:hralign="center" o:hrstd="t" o:hr="t"/>
        </w:pict>
      </w:r>
    </w:p>
    <w:bookmarkEnd w:id="67"/>
    <w:bookmarkStart w:id="68" w:name="aps-113"/>
    <w:p>
      <w:pPr>
        <w:pStyle w:val="Heading2"/>
      </w:pPr>
      <w:r>
        <w:t xml:space="preserve">APS 113</w:t>
      </w:r>
    </w:p>
    <w:p>
      <w:pPr>
        <w:pStyle w:val="FirstParagraph"/>
      </w:pPr>
      <w:r>
        <w:t xml:space="preserve">IRB approach.</w:t>
      </w:r>
    </w:p>
    <w:p>
      <w:r>
        <w:pict>
          <v:rect style="width:0;height:1.5pt" o:hralign="center" o:hrstd="t" o:hr="t"/>
        </w:pict>
      </w:r>
    </w:p>
    <w:bookmarkEnd w:id="68"/>
    <w:bookmarkStart w:id="69" w:name="aps-210"/>
    <w:p>
      <w:pPr>
        <w:pStyle w:val="Heading2"/>
      </w:pPr>
      <w:r>
        <w:t xml:space="preserve">APS 210</w:t>
      </w:r>
    </w:p>
    <w:p>
      <w:pPr>
        <w:pStyle w:val="FirstParagraph"/>
      </w:pPr>
      <w:r>
        <w:t xml:space="preserve">Liquidity.</w:t>
      </w:r>
    </w:p>
    <w:p>
      <w:r>
        <w:pict>
          <v:rect style="width:0;height:1.5pt" o:hralign="center" o:hrstd="t" o:hr="t"/>
        </w:pict>
      </w:r>
    </w:p>
    <w:bookmarkEnd w:id="69"/>
    <w:bookmarkStart w:id="70" w:name="aps-220"/>
    <w:p>
      <w:pPr>
        <w:pStyle w:val="Heading2"/>
      </w:pPr>
      <w:r>
        <w:t xml:space="preserve">APS 220</w:t>
      </w:r>
    </w:p>
    <w:p>
      <w:pPr>
        <w:pStyle w:val="FirstParagraph"/>
      </w:pPr>
      <w:r>
        <w:t xml:space="preserve">Credit risk management.</w:t>
      </w:r>
    </w:p>
    <w:p>
      <w:r>
        <w:pict>
          <v:rect style="width:0;height:1.5pt" o:hralign="center" o:hrstd="t" o:hr="t"/>
        </w:pict>
      </w:r>
    </w:p>
    <w:bookmarkEnd w:id="70"/>
    <w:bookmarkStart w:id="71" w:name="cpg-guidance"/>
    <w:p>
      <w:pPr>
        <w:pStyle w:val="Heading2"/>
      </w:pPr>
      <w:r>
        <w:t xml:space="preserve">CPG Guidance</w:t>
      </w:r>
    </w:p>
    <w:p>
      <w:pPr>
        <w:pStyle w:val="FirstParagraph"/>
      </w:pPr>
      <w:r>
        <w:t xml:space="preserve">★★★★★</w:t>
      </w:r>
    </w:p>
    <w:p>
      <w:pPr>
        <w:pStyle w:val="BodyText"/>
      </w:pPr>
      <w:r>
        <w:t xml:space="preserve">Useful practical guidance.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oecd-resources"/>
    <w:p>
      <w:pPr>
        <w:pStyle w:val="Heading1"/>
      </w:pPr>
      <w:r>
        <w:t xml:space="preserve">OECD Resources</w:t>
      </w:r>
    </w:p>
    <w:p>
      <w:pPr>
        <w:pStyle w:val="FirstParagraph"/>
      </w:pPr>
      <w:r>
        <w:t xml:space="preserve">Excellent source for macroeconomic and structural analysis.</w:t>
      </w:r>
    </w:p>
    <w:p>
      <w:r>
        <w:pict>
          <v:rect style="width:0;height:1.5pt" o:hralign="center" o:hrstd="t" o:hr="t"/>
        </w:pict>
      </w:r>
    </w:p>
    <w:bookmarkStart w:id="73" w:name="oecd"/>
    <w:p>
      <w:pPr>
        <w:pStyle w:val="Heading2"/>
      </w:pPr>
      <w:r>
        <w:t xml:space="preserve">OECD</w:t>
      </w:r>
    </w:p>
    <w:p>
      <w:pPr>
        <w:pStyle w:val="FirstParagraph"/>
      </w:pPr>
      <w:r>
        <w:t xml:space="preserve">https://www.oecd.org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73"/>
    <w:bookmarkStart w:id="74" w:name="oecd-economic-outlook"/>
    <w:p>
      <w:pPr>
        <w:pStyle w:val="Heading2"/>
      </w:pPr>
      <w:r>
        <w:t xml:space="preserve">OECD Economic Outlook</w:t>
      </w:r>
    </w:p>
    <w:p>
      <w:pPr>
        <w:pStyle w:val="FirstParagraph"/>
      </w:pPr>
      <w:r>
        <w:t xml:space="preserve">https://www.oecd.org/economic-outlook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74"/>
    <w:bookmarkStart w:id="75" w:name="country-risk-publications"/>
    <w:p>
      <w:pPr>
        <w:pStyle w:val="Heading2"/>
      </w:pPr>
      <w:r>
        <w:t xml:space="preserve">Country Risk Publications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imf-resources"/>
    <w:p>
      <w:pPr>
        <w:pStyle w:val="Heading1"/>
      </w:pPr>
      <w:r>
        <w:t xml:space="preserve">IMF Resources</w:t>
      </w:r>
    </w:p>
    <w:p>
      <w:pPr>
        <w:pStyle w:val="FirstParagraph"/>
      </w:pPr>
      <w:r>
        <w:t xml:space="preserve">Excellent for sovereign and macroeconomic analysis.</w:t>
      </w:r>
    </w:p>
    <w:p>
      <w:r>
        <w:pict>
          <v:rect style="width:0;height:1.5pt" o:hralign="center" o:hrstd="t" o:hr="t"/>
        </w:pict>
      </w:r>
    </w:p>
    <w:bookmarkStart w:id="77" w:name="imf"/>
    <w:p>
      <w:pPr>
        <w:pStyle w:val="Heading2"/>
      </w:pPr>
      <w:r>
        <w:t xml:space="preserve">IMF</w:t>
      </w:r>
    </w:p>
    <w:p>
      <w:pPr>
        <w:pStyle w:val="FirstParagraph"/>
      </w:pPr>
      <w:r>
        <w:t xml:space="preserve">https://www.imf.org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77"/>
    <w:bookmarkStart w:id="78" w:name="world-economic-outlook"/>
    <w:p>
      <w:pPr>
        <w:pStyle w:val="Heading2"/>
      </w:pPr>
      <w:r>
        <w:t xml:space="preserve">World Economic Outlook</w:t>
      </w:r>
    </w:p>
    <w:p>
      <w:pPr>
        <w:pStyle w:val="FirstParagraph"/>
      </w:pPr>
      <w:r>
        <w:t xml:space="preserve">https://www.imf.org/en/Publications/WEO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78"/>
    <w:bookmarkStart w:id="79" w:name="country-reports"/>
    <w:p>
      <w:pPr>
        <w:pStyle w:val="Heading2"/>
      </w:pPr>
      <w:r>
        <w:t xml:space="preserve">Country Reports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79"/>
    <w:bookmarkStart w:id="80" w:name="global-financial-stability-report"/>
    <w:p>
      <w:pPr>
        <w:pStyle w:val="Heading2"/>
      </w:pPr>
      <w:r>
        <w:t xml:space="preserve">Global Financial Stability Report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world-bank-resources"/>
    <w:p>
      <w:pPr>
        <w:pStyle w:val="Heading1"/>
      </w:pPr>
      <w:r>
        <w:t xml:space="preserve">World Bank Resources</w:t>
      </w:r>
    </w:p>
    <w:p>
      <w:pPr>
        <w:pStyle w:val="FirstParagraph"/>
      </w:pPr>
      <w:r>
        <w:t xml:space="preserve">Excellent for emerging markets.</w:t>
      </w:r>
    </w:p>
    <w:p>
      <w:r>
        <w:pict>
          <v:rect style="width:0;height:1.5pt" o:hralign="center" o:hrstd="t" o:hr="t"/>
        </w:pict>
      </w:r>
    </w:p>
    <w:bookmarkStart w:id="82" w:name="world-bank"/>
    <w:p>
      <w:pPr>
        <w:pStyle w:val="Heading2"/>
      </w:pPr>
      <w:r>
        <w:t xml:space="preserve">World Bank</w:t>
      </w:r>
    </w:p>
    <w:p>
      <w:pPr>
        <w:pStyle w:val="FirstParagraph"/>
      </w:pPr>
      <w:r>
        <w:t xml:space="preserve">https://www.worldbank.org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2"/>
    <w:bookmarkStart w:id="83" w:name="databank"/>
    <w:p>
      <w:pPr>
        <w:pStyle w:val="Heading2"/>
      </w:pPr>
      <w:r>
        <w:t xml:space="preserve">DataBank</w:t>
      </w:r>
    </w:p>
    <w:p>
      <w:pPr>
        <w:pStyle w:val="FirstParagraph"/>
      </w:pPr>
      <w:r>
        <w:t xml:space="preserve">https://databank.worldbank.org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3"/>
    <w:bookmarkStart w:id="84" w:name="commodity-markets-outlook"/>
    <w:p>
      <w:pPr>
        <w:pStyle w:val="Heading2"/>
      </w:pPr>
      <w:r>
        <w:t xml:space="preserve">Commodity Markets Outlook</w:t>
      </w:r>
    </w:p>
    <w:p>
      <w:pPr>
        <w:pStyle w:val="FirstParagraph"/>
      </w:pPr>
      <w:r>
        <w:t xml:space="preserve">https://www.worldbank.org/en/research/commodity-markets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7" w:name="commodity-research-resources"/>
    <w:p>
      <w:pPr>
        <w:pStyle w:val="Heading1"/>
      </w:pPr>
      <w:r>
        <w:t xml:space="preserve">Commodity Research Resources</w:t>
      </w:r>
    </w:p>
    <w:p>
      <w:pPr>
        <w:pStyle w:val="FirstParagraph"/>
      </w:pPr>
      <w:r>
        <w:t xml:space="preserve">One of the most important areas for mining and commodity credit teams.</w:t>
      </w:r>
    </w:p>
    <w:p>
      <w:r>
        <w:pict>
          <v:rect style="width:0;height:1.5pt" o:hralign="center" o:hrstd="t" o:hr="t"/>
        </w:pict>
      </w:r>
    </w:p>
    <w:bookmarkStart w:id="86" w:name="sp-commodity-insights"/>
    <w:p>
      <w:pPr>
        <w:pStyle w:val="Heading2"/>
      </w:pPr>
      <w:r>
        <w:t xml:space="preserve">S&amp;P Commodity Insights</w:t>
      </w:r>
    </w:p>
    <w:p>
      <w:pPr>
        <w:pStyle w:val="FirstParagraph"/>
      </w:pPr>
      <w:r>
        <w:t xml:space="preserve">https://www.spglobal.com/commodityinsights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6"/>
    <w:bookmarkStart w:id="87" w:name="fastmarkets"/>
    <w:p>
      <w:pPr>
        <w:pStyle w:val="Heading2"/>
      </w:pPr>
      <w:r>
        <w:t xml:space="preserve">Fastmarkets</w:t>
      </w:r>
    </w:p>
    <w:p>
      <w:pPr>
        <w:pStyle w:val="FirstParagraph"/>
      </w:pPr>
      <w:r>
        <w:t xml:space="preserve">https://www.fastmarkets.com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7"/>
    <w:bookmarkStart w:id="88" w:name="argus-media"/>
    <w:p>
      <w:pPr>
        <w:pStyle w:val="Heading2"/>
      </w:pPr>
      <w:r>
        <w:t xml:space="preserve">Argus Media</w:t>
      </w:r>
    </w:p>
    <w:p>
      <w:pPr>
        <w:pStyle w:val="FirstParagraph"/>
      </w:pPr>
      <w:r>
        <w:t xml:space="preserve">https://www.argusmedia.com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8"/>
    <w:bookmarkStart w:id="89" w:name="cru"/>
    <w:p>
      <w:pPr>
        <w:pStyle w:val="Heading2"/>
      </w:pPr>
      <w:r>
        <w:t xml:space="preserve">CRU</w:t>
      </w:r>
    </w:p>
    <w:p>
      <w:pPr>
        <w:pStyle w:val="FirstParagraph"/>
      </w:pPr>
      <w:r>
        <w:t xml:space="preserve">https://www.crugroup.com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89"/>
    <w:bookmarkStart w:id="90" w:name="wood-mackenzie"/>
    <w:p>
      <w:pPr>
        <w:pStyle w:val="Heading2"/>
      </w:pPr>
      <w:r>
        <w:t xml:space="preserve">Wood Mackenzie</w:t>
      </w:r>
    </w:p>
    <w:p>
      <w:pPr>
        <w:pStyle w:val="FirstParagraph"/>
      </w:pPr>
      <w:r>
        <w:t xml:space="preserve">https://www.woodmac.com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90"/>
    <w:bookmarkStart w:id="91" w:name="benchmark-mineral-intelligence"/>
    <w:p>
      <w:pPr>
        <w:pStyle w:val="Heading2"/>
      </w:pPr>
      <w:r>
        <w:t xml:space="preserve">Benchmark Mineral Intelligence</w:t>
      </w:r>
    </w:p>
    <w:p>
      <w:pPr>
        <w:pStyle w:val="FirstParagraph"/>
      </w:pPr>
      <w:r>
        <w:t xml:space="preserve">https://www.benchmarkminerals.com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91"/>
    <w:bookmarkStart w:id="92" w:name="world-gold-council"/>
    <w:p>
      <w:pPr>
        <w:pStyle w:val="Heading2"/>
      </w:pPr>
      <w:r>
        <w:t xml:space="preserve">World Gold Council</w:t>
      </w:r>
    </w:p>
    <w:p>
      <w:pPr>
        <w:pStyle w:val="FirstParagraph"/>
      </w:pPr>
      <w:r>
        <w:t xml:space="preserve">https://www.gold.org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92"/>
    <w:bookmarkStart w:id="93" w:name="international-copper-study-group"/>
    <w:p>
      <w:pPr>
        <w:pStyle w:val="Heading2"/>
      </w:pPr>
      <w:r>
        <w:t xml:space="preserve">International Copper Study Group</w:t>
      </w:r>
    </w:p>
    <w:p>
      <w:pPr>
        <w:pStyle w:val="FirstParagraph"/>
      </w:pPr>
      <w:r>
        <w:t xml:space="preserve">https://icsg.org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93"/>
    <w:bookmarkStart w:id="94" w:name="international-nickel-study-group"/>
    <w:p>
      <w:pPr>
        <w:pStyle w:val="Heading2"/>
      </w:pPr>
      <w:r>
        <w:t xml:space="preserve">International Nickel Study Group</w:t>
      </w:r>
    </w:p>
    <w:p>
      <w:pPr>
        <w:pStyle w:val="FirstParagraph"/>
      </w:pPr>
      <w:r>
        <w:t xml:space="preserve">https://insg.org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94"/>
    <w:bookmarkStart w:id="95" w:name="international-energy-agency"/>
    <w:p>
      <w:pPr>
        <w:pStyle w:val="Heading2"/>
      </w:pPr>
      <w:r>
        <w:t xml:space="preserve">International Energy Agency</w:t>
      </w:r>
    </w:p>
    <w:p>
      <w:pPr>
        <w:pStyle w:val="FirstParagraph"/>
      </w:pPr>
      <w:r>
        <w:t xml:space="preserve">https://www.iea.org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95"/>
    <w:bookmarkStart w:id="96" w:name="opec"/>
    <w:p>
      <w:pPr>
        <w:pStyle w:val="Heading2"/>
      </w:pPr>
      <w:r>
        <w:t xml:space="preserve">OPEC</w:t>
      </w:r>
    </w:p>
    <w:p>
      <w:pPr>
        <w:pStyle w:val="FirstParagraph"/>
      </w:pPr>
      <w:r>
        <w:t xml:space="preserve">https://www.opec.org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central-banks"/>
    <w:p>
      <w:pPr>
        <w:pStyle w:val="Heading1"/>
      </w:pPr>
      <w:r>
        <w:t xml:space="preserve">Central Banks</w:t>
      </w:r>
    </w:p>
    <w:p>
      <w:pPr>
        <w:pStyle w:val="FirstParagraph"/>
      </w:pPr>
      <w:r>
        <w:t xml:space="preserve">Useful for macroeconomic analysis.</w:t>
      </w:r>
    </w:p>
    <w:p>
      <w:r>
        <w:pict>
          <v:rect style="width:0;height:1.5pt" o:hralign="center" o:hrstd="t" o:hr="t"/>
        </w:pict>
      </w:r>
    </w:p>
    <w:bookmarkStart w:id="98" w:name="rba"/>
    <w:p>
      <w:pPr>
        <w:pStyle w:val="Heading2"/>
      </w:pPr>
      <w:r>
        <w:t xml:space="preserve">RBA</w:t>
      </w:r>
    </w:p>
    <w:p>
      <w:pPr>
        <w:pStyle w:val="FirstParagraph"/>
      </w:pPr>
      <w:r>
        <w:t xml:space="preserve">https://www.rba.gov.au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98"/>
    <w:bookmarkStart w:id="99" w:name="federal-reserve"/>
    <w:p>
      <w:pPr>
        <w:pStyle w:val="Heading2"/>
      </w:pPr>
      <w:r>
        <w:t xml:space="preserve">Federal Reserve</w:t>
      </w:r>
    </w:p>
    <w:p>
      <w:pPr>
        <w:pStyle w:val="FirstParagraph"/>
      </w:pPr>
      <w:r>
        <w:t xml:space="preserve">https://www.federalreserve.gov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99"/>
    <w:bookmarkStart w:id="100" w:name="ecb"/>
    <w:p>
      <w:pPr>
        <w:pStyle w:val="Heading2"/>
      </w:pPr>
      <w:r>
        <w:t xml:space="preserve">ECB</w:t>
      </w:r>
    </w:p>
    <w:p>
      <w:pPr>
        <w:pStyle w:val="FirstParagraph"/>
      </w:pPr>
      <w:r>
        <w:t xml:space="preserve">https://www.ecb.europa.eu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0"/>
    <w:bookmarkStart w:id="101" w:name="bank-of-england"/>
    <w:p>
      <w:pPr>
        <w:pStyle w:val="Heading2"/>
      </w:pPr>
      <w:r>
        <w:t xml:space="preserve">Bank of England</w:t>
      </w:r>
    </w:p>
    <w:p>
      <w:pPr>
        <w:pStyle w:val="FirstParagraph"/>
      </w:pPr>
      <w:r>
        <w:t xml:space="preserve">https://www.bankofengland.co.uk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1"/>
    <w:bookmarkStart w:id="102" w:name="mas"/>
    <w:p>
      <w:pPr>
        <w:pStyle w:val="Heading2"/>
      </w:pPr>
      <w:r>
        <w:t xml:space="preserve">MAS</w:t>
      </w:r>
    </w:p>
    <w:p>
      <w:pPr>
        <w:pStyle w:val="FirstParagraph"/>
      </w:pPr>
      <w:r>
        <w:t xml:space="preserve">https://www.mas.gov.sg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economic-data-sources"/>
    <w:p>
      <w:pPr>
        <w:pStyle w:val="Heading1"/>
      </w:pPr>
      <w:r>
        <w:t xml:space="preserve">Economic Data Sources</w:t>
      </w:r>
    </w:p>
    <w:bookmarkStart w:id="104" w:name="fred"/>
    <w:p>
      <w:pPr>
        <w:pStyle w:val="Heading2"/>
      </w:pPr>
      <w:r>
        <w:t xml:space="preserve">FRED</w:t>
      </w:r>
    </w:p>
    <w:p>
      <w:pPr>
        <w:pStyle w:val="FirstParagraph"/>
      </w:pPr>
      <w:r>
        <w:t xml:space="preserve">https://fred.stlouisfed.org</w:t>
      </w:r>
    </w:p>
    <w:p>
      <w:pPr>
        <w:pStyle w:val="BodyText"/>
      </w:pPr>
      <w:r>
        <w:t xml:space="preserve">★★★★★</w:t>
      </w:r>
    </w:p>
    <w:p>
      <w:pPr>
        <w:pStyle w:val="BodyText"/>
      </w:pPr>
      <w:r>
        <w:t xml:space="preserve">Probably the best macro database available.</w:t>
      </w:r>
    </w:p>
    <w:p>
      <w:r>
        <w:pict>
          <v:rect style="width:0;height:1.5pt" o:hralign="center" o:hrstd="t" o:hr="t"/>
        </w:pict>
      </w:r>
    </w:p>
    <w:bookmarkEnd w:id="104"/>
    <w:bookmarkStart w:id="105" w:name="trading-economics"/>
    <w:p>
      <w:pPr>
        <w:pStyle w:val="Heading2"/>
      </w:pPr>
      <w:r>
        <w:t xml:space="preserve">Trading Economics</w:t>
      </w:r>
    </w:p>
    <w:p>
      <w:pPr>
        <w:pStyle w:val="FirstParagraph"/>
      </w:pPr>
      <w:r>
        <w:t xml:space="preserve">https://tradingeconomics.com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5"/>
    <w:bookmarkStart w:id="106" w:name="world-bank-data"/>
    <w:p>
      <w:pPr>
        <w:pStyle w:val="Heading2"/>
      </w:pPr>
      <w:r>
        <w:t xml:space="preserve">World Bank Data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6"/>
    <w:bookmarkStart w:id="107" w:name="oecd-data"/>
    <w:p>
      <w:pPr>
        <w:pStyle w:val="Heading2"/>
      </w:pPr>
      <w:r>
        <w:t xml:space="preserve">OECD Data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debt-market-resources"/>
    <w:p>
      <w:pPr>
        <w:pStyle w:val="Heading1"/>
      </w:pPr>
      <w:r>
        <w:t xml:space="preserve">Debt Market Resources</w:t>
      </w:r>
    </w:p>
    <w:bookmarkStart w:id="109" w:name="ifr"/>
    <w:p>
      <w:pPr>
        <w:pStyle w:val="Heading2"/>
      </w:pPr>
      <w:r>
        <w:t xml:space="preserve">IFR</w:t>
      </w:r>
    </w:p>
    <w:p>
      <w:pPr>
        <w:pStyle w:val="FirstParagraph"/>
      </w:pPr>
      <w:r>
        <w:t xml:space="preserve">https://www.ifre.com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09"/>
    <w:bookmarkStart w:id="110" w:name="lsta-1"/>
    <w:p>
      <w:pPr>
        <w:pStyle w:val="Heading2"/>
      </w:pPr>
      <w:r>
        <w:t xml:space="preserve">LSTA</w:t>
      </w:r>
    </w:p>
    <w:p>
      <w:pPr>
        <w:pStyle w:val="FirstParagraph"/>
      </w:pPr>
      <w:r>
        <w:t xml:space="preserve">https://www.lsta.org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10"/>
    <w:bookmarkStart w:id="111" w:name="lma"/>
    <w:p>
      <w:pPr>
        <w:pStyle w:val="Heading2"/>
      </w:pPr>
      <w:r>
        <w:t xml:space="preserve">LMA</w:t>
      </w:r>
    </w:p>
    <w:p>
      <w:pPr>
        <w:pStyle w:val="FirstParagraph"/>
      </w:pPr>
      <w:r>
        <w:t xml:space="preserve">https://www.lma.eu.com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11"/>
    <w:bookmarkStart w:id="112" w:name="isda-1"/>
    <w:p>
      <w:pPr>
        <w:pStyle w:val="Heading2"/>
      </w:pPr>
      <w:r>
        <w:t xml:space="preserve">ISDA</w:t>
      </w:r>
    </w:p>
    <w:p>
      <w:pPr>
        <w:pStyle w:val="FirstParagraph"/>
      </w:pPr>
      <w:r>
        <w:t xml:space="preserve">https://www.isda.org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industry-bodies"/>
    <w:p>
      <w:pPr>
        <w:pStyle w:val="Heading1"/>
      </w:pPr>
      <w:r>
        <w:t xml:space="preserve">Industry Bodies</w:t>
      </w:r>
    </w:p>
    <w:bookmarkStart w:id="114" w:name="icmm"/>
    <w:p>
      <w:pPr>
        <w:pStyle w:val="Heading2"/>
      </w:pPr>
      <w:r>
        <w:t xml:space="preserve">ICMM</w:t>
      </w:r>
    </w:p>
    <w:p>
      <w:pPr>
        <w:pStyle w:val="FirstParagraph"/>
      </w:pPr>
      <w:r>
        <w:t xml:space="preserve">https://www.icmm.com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14"/>
    <w:bookmarkStart w:id="115" w:name="world-steel-association"/>
    <w:p>
      <w:pPr>
        <w:pStyle w:val="Heading2"/>
      </w:pPr>
      <w:r>
        <w:t xml:space="preserve">World Steel Association</w:t>
      </w:r>
    </w:p>
    <w:p>
      <w:pPr>
        <w:pStyle w:val="FirstParagraph"/>
      </w:pPr>
      <w:r>
        <w:t xml:space="preserve">https://worldsteel.org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15"/>
    <w:bookmarkStart w:id="116" w:name="copper-development-association"/>
    <w:p>
      <w:pPr>
        <w:pStyle w:val="Heading2"/>
      </w:pPr>
      <w:r>
        <w:t xml:space="preserve">Copper Development Association</w:t>
      </w:r>
    </w:p>
    <w:p>
      <w:pPr>
        <w:pStyle w:val="FirstParagraph"/>
      </w:pPr>
      <w:r>
        <w:t xml:space="preserve">https://www.copper.org</w:t>
      </w:r>
    </w:p>
    <w:p>
      <w:pPr>
        <w:pStyle w:val="BodyText"/>
      </w:pPr>
      <w:r>
        <w:t xml:space="preserve">★★★★☆</w:t>
      </w:r>
    </w:p>
    <w:p>
      <w:r>
        <w:pict>
          <v:rect style="width:0;height:1.5pt" o:hralign="center" o:hrstd="t" o:hr="t"/>
        </w:pict>
      </w:r>
    </w:p>
    <w:bookmarkEnd w:id="116"/>
    <w:bookmarkStart w:id="117" w:name="international-aluminium-institute"/>
    <w:p>
      <w:pPr>
        <w:pStyle w:val="Heading2"/>
      </w:pPr>
      <w:r>
        <w:t xml:space="preserve">International Aluminium Institute</w:t>
      </w:r>
    </w:p>
    <w:p>
      <w:pPr>
        <w:pStyle w:val="FirstParagraph"/>
      </w:pPr>
      <w:r>
        <w:t xml:space="preserve">https://international-aluminium.org</w:t>
      </w:r>
    </w:p>
    <w:p>
      <w:pPr>
        <w:pStyle w:val="BodyText"/>
      </w:pPr>
      <w:r>
        <w:t xml:space="preserve">★★★★☆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legal-documentation-examples"/>
    <w:p>
      <w:pPr>
        <w:pStyle w:val="Heading1"/>
      </w:pPr>
      <w:r>
        <w:t xml:space="preserve">Legal Documentation Examples</w:t>
      </w:r>
    </w:p>
    <w:p>
      <w:pPr>
        <w:pStyle w:val="FirstParagraph"/>
      </w:pPr>
      <w:r>
        <w:t xml:space="preserve">Useful for understanding market standards.</w:t>
      </w:r>
    </w:p>
    <w:p>
      <w:r>
        <w:pict>
          <v:rect style="width:0;height:1.5pt" o:hralign="center" o:hrstd="t" o:hr="t"/>
        </w:pict>
      </w:r>
    </w:p>
    <w:bookmarkStart w:id="119" w:name="sec-edgar-2"/>
    <w:p>
      <w:pPr>
        <w:pStyle w:val="Heading2"/>
      </w:pPr>
      <w:r>
        <w:t xml:space="preserve">SEC EDGAR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19"/>
    <w:bookmarkStart w:id="120" w:name="isda-2"/>
    <w:p>
      <w:pPr>
        <w:pStyle w:val="Heading2"/>
      </w:pPr>
      <w:r>
        <w:t xml:space="preserve">ISDA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0"/>
    <w:bookmarkStart w:id="121" w:name="lsta-2"/>
    <w:p>
      <w:pPr>
        <w:pStyle w:val="Heading2"/>
      </w:pPr>
      <w:r>
        <w:t xml:space="preserve">LSTA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1"/>
    <w:bookmarkStart w:id="122" w:name="lma-1"/>
    <w:p>
      <w:pPr>
        <w:pStyle w:val="Heading2"/>
      </w:pPr>
      <w:r>
        <w:t xml:space="preserve">LMA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2"/>
    <w:bookmarkStart w:id="123" w:name="australian-government-legislation"/>
    <w:p>
      <w:pPr>
        <w:pStyle w:val="Heading2"/>
      </w:pPr>
      <w:r>
        <w:t xml:space="preserve">Australian Government Legislation</w:t>
      </w:r>
    </w:p>
    <w:p>
      <w:pPr>
        <w:pStyle w:val="FirstParagraph"/>
      </w:pPr>
      <w:r>
        <w:t xml:space="preserve">https://www.legislation.gov.au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news-resources"/>
    <w:p>
      <w:pPr>
        <w:pStyle w:val="Heading1"/>
      </w:pPr>
      <w:r>
        <w:t xml:space="preserve">News Resources</w:t>
      </w:r>
    </w:p>
    <w:bookmarkStart w:id="125" w:name="reuters"/>
    <w:p>
      <w:pPr>
        <w:pStyle w:val="Heading2"/>
      </w:pPr>
      <w:r>
        <w:t xml:space="preserve">Reuters</w:t>
      </w:r>
    </w:p>
    <w:p>
      <w:pPr>
        <w:pStyle w:val="FirstParagraph"/>
      </w:pPr>
      <w:r>
        <w:t xml:space="preserve">https://www.reuters.com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5"/>
    <w:bookmarkStart w:id="126" w:name="financial-times"/>
    <w:p>
      <w:pPr>
        <w:pStyle w:val="Heading2"/>
      </w:pPr>
      <w:r>
        <w:t xml:space="preserve">Financial Times</w:t>
      </w:r>
    </w:p>
    <w:p>
      <w:pPr>
        <w:pStyle w:val="FirstParagraph"/>
      </w:pPr>
      <w:r>
        <w:t xml:space="preserve">https://www.ft.com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6"/>
    <w:bookmarkStart w:id="127" w:name="wall-street-journal"/>
    <w:p>
      <w:pPr>
        <w:pStyle w:val="Heading2"/>
      </w:pPr>
      <w:r>
        <w:t xml:space="preserve">Wall Street Journal</w:t>
      </w:r>
    </w:p>
    <w:p>
      <w:pPr>
        <w:pStyle w:val="FirstParagraph"/>
      </w:pPr>
      <w:r>
        <w:t xml:space="preserve">https://www.wsj.com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7"/>
    <w:bookmarkStart w:id="128" w:name="afr"/>
    <w:p>
      <w:pPr>
        <w:pStyle w:val="Heading2"/>
      </w:pPr>
      <w:r>
        <w:t xml:space="preserve">AFR</w:t>
      </w:r>
    </w:p>
    <w:p>
      <w:pPr>
        <w:pStyle w:val="FirstParagraph"/>
      </w:pPr>
      <w:r>
        <w:t xml:space="preserve">https://www.afr.com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8"/>
    <w:bookmarkStart w:id="129" w:name="mining.com"/>
    <w:p>
      <w:pPr>
        <w:pStyle w:val="Heading2"/>
      </w:pPr>
      <w:r>
        <w:t xml:space="preserve">Mining.com</w:t>
      </w:r>
    </w:p>
    <w:p>
      <w:pPr>
        <w:pStyle w:val="FirstParagraph"/>
      </w:pPr>
      <w:r>
        <w:t xml:space="preserve">https://www.mining.com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7" w:name="books"/>
    <w:p>
      <w:pPr>
        <w:pStyle w:val="Heading1"/>
      </w:pPr>
      <w:r>
        <w:t xml:space="preserve">Books</w:t>
      </w:r>
    </w:p>
    <w:bookmarkStart w:id="131" w:name="principles-of-corporate-finance"/>
    <w:p>
      <w:pPr>
        <w:pStyle w:val="Heading2"/>
      </w:pPr>
      <w:r>
        <w:t xml:space="preserve">Principles of Corporate Finance</w:t>
      </w:r>
    </w:p>
    <w:p>
      <w:pPr>
        <w:pStyle w:val="FirstParagraph"/>
      </w:pPr>
      <w:r>
        <w:t xml:space="preserve">Brealey, Myers and Allen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31"/>
    <w:bookmarkStart w:id="132" w:name="Xfa50bcf761f89fc7ea0a70752d54ab09e0e66b7"/>
    <w:p>
      <w:pPr>
        <w:pStyle w:val="Heading2"/>
      </w:pPr>
      <w:r>
        <w:t xml:space="preserve">Corporate Financial Distress and Bankruptcy</w:t>
      </w:r>
    </w:p>
    <w:p>
      <w:pPr>
        <w:pStyle w:val="FirstParagraph"/>
      </w:pPr>
      <w:r>
        <w:t xml:space="preserve">Altman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32"/>
    <w:bookmarkStart w:id="133" w:name="X8f65555cb71bbc0e653ed1b5644796bbb5201e7"/>
    <w:p>
      <w:pPr>
        <w:pStyle w:val="Heading2"/>
      </w:pPr>
      <w:r>
        <w:t xml:space="preserve">The Handbook of Loan Syndications and Trading</w:t>
      </w:r>
    </w:p>
    <w:p>
      <w:pPr>
        <w:pStyle w:val="FirstParagraph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33"/>
    <w:bookmarkStart w:id="134" w:name="project-finance-in-theory-and-practice"/>
    <w:p>
      <w:pPr>
        <w:pStyle w:val="Heading2"/>
      </w:pPr>
      <w:r>
        <w:t xml:space="preserve">Project Finance in Theory and Practice</w:t>
      </w:r>
    </w:p>
    <w:p>
      <w:pPr>
        <w:pStyle w:val="FirstParagraph"/>
      </w:pPr>
      <w:r>
        <w:t xml:space="preserve">Esty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34"/>
    <w:bookmarkStart w:id="135" w:name="security-analysis"/>
    <w:p>
      <w:pPr>
        <w:pStyle w:val="Heading2"/>
      </w:pPr>
      <w:r>
        <w:t xml:space="preserve">Security Analysis</w:t>
      </w:r>
    </w:p>
    <w:p>
      <w:pPr>
        <w:pStyle w:val="FirstParagraph"/>
      </w:pPr>
      <w:r>
        <w:t xml:space="preserve">Graham and Dodd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35"/>
    <w:bookmarkStart w:id="136" w:name="against-the-gods"/>
    <w:p>
      <w:pPr>
        <w:pStyle w:val="Heading2"/>
      </w:pPr>
      <w:r>
        <w:t xml:space="preserve">Against the Gods</w:t>
      </w:r>
    </w:p>
    <w:p>
      <w:pPr>
        <w:pStyle w:val="FirstParagraph"/>
      </w:pPr>
      <w:r>
        <w:t xml:space="preserve">Bernstein</w:t>
      </w:r>
    </w:p>
    <w:p>
      <w:pPr>
        <w:pStyle w:val="BodyText"/>
      </w:pPr>
      <w:r>
        <w:t xml:space="preserve">★★★★★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4" w:name="suggested-child-pages"/>
    <w:p>
      <w:pPr>
        <w:pStyle w:val="Heading1"/>
      </w:pPr>
      <w:r>
        <w:t xml:space="preserve">Suggested Child Pages</w:t>
      </w:r>
    </w:p>
    <w:bookmarkStart w:id="138" w:name="sec-filing-examples-1"/>
    <w:p>
      <w:pPr>
        <w:pStyle w:val="Heading2"/>
      </w:pPr>
      <w:r>
        <w:t xml:space="preserve">SEC Filing Examples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08"/>
        </w:numPr>
      </w:pPr>
      <w:r>
        <w:t xml:space="preserve">Credit agreements.</w:t>
      </w:r>
    </w:p>
    <w:p>
      <w:pPr>
        <w:pStyle w:val="Compact"/>
        <w:numPr>
          <w:ilvl w:val="0"/>
          <w:numId w:val="1008"/>
        </w:numPr>
      </w:pPr>
      <w:r>
        <w:t xml:space="preserve">ISDA examples.</w:t>
      </w:r>
    </w:p>
    <w:p>
      <w:pPr>
        <w:pStyle w:val="Compact"/>
        <w:numPr>
          <w:ilvl w:val="0"/>
          <w:numId w:val="1008"/>
        </w:numPr>
      </w:pPr>
      <w:r>
        <w:t xml:space="preserve">Guarantees.</w:t>
      </w:r>
    </w:p>
    <w:p>
      <w:pPr>
        <w:pStyle w:val="Compact"/>
        <w:numPr>
          <w:ilvl w:val="0"/>
          <w:numId w:val="1008"/>
        </w:numPr>
      </w:pPr>
      <w:r>
        <w:t xml:space="preserve">Security documents.</w:t>
      </w:r>
    </w:p>
    <w:p>
      <w:r>
        <w:pict>
          <v:rect style="width:0;height:1.5pt" o:hralign="center" o:hrstd="t" o:hr="t"/>
        </w:pict>
      </w:r>
    </w:p>
    <w:bookmarkEnd w:id="138"/>
    <w:bookmarkStart w:id="139" w:name="credit-agency-methodologies-1"/>
    <w:p>
      <w:pPr>
        <w:pStyle w:val="Heading2"/>
      </w:pPr>
      <w:r>
        <w:t xml:space="preserve">Credit Agency Methodologies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09"/>
        </w:numPr>
      </w:pPr>
      <w:r>
        <w:t xml:space="preserve">Mining.</w:t>
      </w:r>
    </w:p>
    <w:p>
      <w:pPr>
        <w:pStyle w:val="Compact"/>
        <w:numPr>
          <w:ilvl w:val="0"/>
          <w:numId w:val="1009"/>
        </w:numPr>
      </w:pPr>
      <w:r>
        <w:t xml:space="preserve">Commodity traders.</w:t>
      </w:r>
    </w:p>
    <w:p>
      <w:pPr>
        <w:pStyle w:val="Compact"/>
        <w:numPr>
          <w:ilvl w:val="0"/>
          <w:numId w:val="1009"/>
        </w:numPr>
      </w:pPr>
      <w:r>
        <w:t xml:space="preserve">Banks.</w:t>
      </w:r>
    </w:p>
    <w:p>
      <w:pPr>
        <w:pStyle w:val="Compact"/>
        <w:numPr>
          <w:ilvl w:val="0"/>
          <w:numId w:val="1009"/>
        </w:numPr>
      </w:pPr>
      <w:r>
        <w:t xml:space="preserve">Infrastructure.</w:t>
      </w:r>
    </w:p>
    <w:p>
      <w:r>
        <w:pict>
          <v:rect style="width:0;height:1.5pt" o:hralign="center" o:hrstd="t" o:hr="t"/>
        </w:pict>
      </w:r>
    </w:p>
    <w:bookmarkEnd w:id="139"/>
    <w:bookmarkStart w:id="140" w:name="commodity-research-resources-1"/>
    <w:p>
      <w:pPr>
        <w:pStyle w:val="Heading2"/>
      </w:pPr>
      <w:r>
        <w:t xml:space="preserve">Commodity Research Resources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10"/>
        </w:numPr>
      </w:pPr>
      <w:r>
        <w:t xml:space="preserve">Copper.</w:t>
      </w:r>
    </w:p>
    <w:p>
      <w:pPr>
        <w:pStyle w:val="Compact"/>
        <w:numPr>
          <w:ilvl w:val="0"/>
          <w:numId w:val="1010"/>
        </w:numPr>
      </w:pPr>
      <w:r>
        <w:t xml:space="preserve">Gold.</w:t>
      </w:r>
    </w:p>
    <w:p>
      <w:pPr>
        <w:pStyle w:val="Compact"/>
        <w:numPr>
          <w:ilvl w:val="0"/>
          <w:numId w:val="1010"/>
        </w:numPr>
      </w:pPr>
      <w:r>
        <w:t xml:space="preserve">Coal.</w:t>
      </w:r>
    </w:p>
    <w:p>
      <w:pPr>
        <w:pStyle w:val="Compact"/>
        <w:numPr>
          <w:ilvl w:val="0"/>
          <w:numId w:val="1010"/>
        </w:numPr>
      </w:pPr>
      <w:r>
        <w:t xml:space="preserve">Oil.</w:t>
      </w:r>
    </w:p>
    <w:p>
      <w:pPr>
        <w:pStyle w:val="Compact"/>
        <w:numPr>
          <w:ilvl w:val="0"/>
          <w:numId w:val="1010"/>
        </w:numPr>
      </w:pPr>
      <w:r>
        <w:t xml:space="preserve">Gas.</w:t>
      </w:r>
    </w:p>
    <w:p>
      <w:r>
        <w:pict>
          <v:rect style="width:0;height:1.5pt" o:hralign="center" o:hrstd="t" o:hr="t"/>
        </w:pict>
      </w:r>
    </w:p>
    <w:bookmarkEnd w:id="140"/>
    <w:bookmarkStart w:id="141" w:name="apra-guidance-1"/>
    <w:p>
      <w:pPr>
        <w:pStyle w:val="Heading2"/>
      </w:pPr>
      <w:r>
        <w:t xml:space="preserve">APRA Guidance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11"/>
        </w:numPr>
      </w:pPr>
      <w:r>
        <w:t xml:space="preserve">APS 112.</w:t>
      </w:r>
    </w:p>
    <w:p>
      <w:pPr>
        <w:pStyle w:val="Compact"/>
        <w:numPr>
          <w:ilvl w:val="0"/>
          <w:numId w:val="1011"/>
        </w:numPr>
      </w:pPr>
      <w:r>
        <w:t xml:space="preserve">APS 113.</w:t>
      </w:r>
    </w:p>
    <w:p>
      <w:pPr>
        <w:pStyle w:val="Compact"/>
        <w:numPr>
          <w:ilvl w:val="0"/>
          <w:numId w:val="1011"/>
        </w:numPr>
      </w:pPr>
      <w:r>
        <w:t xml:space="preserve">APS 210.</w:t>
      </w:r>
    </w:p>
    <w:p>
      <w:pPr>
        <w:pStyle w:val="Compact"/>
        <w:numPr>
          <w:ilvl w:val="0"/>
          <w:numId w:val="1011"/>
        </w:numPr>
      </w:pPr>
      <w:r>
        <w:t xml:space="preserve">APS 220.</w:t>
      </w:r>
    </w:p>
    <w:p>
      <w:r>
        <w:pict>
          <v:rect style="width:0;height:1.5pt" o:hralign="center" o:hrstd="t" o:hr="t"/>
        </w:pict>
      </w:r>
    </w:p>
    <w:bookmarkEnd w:id="141"/>
    <w:bookmarkStart w:id="142" w:name="bis-publications-1"/>
    <w:p>
      <w:pPr>
        <w:pStyle w:val="Heading2"/>
      </w:pPr>
      <w:r>
        <w:t xml:space="preserve">BIS Publications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12"/>
        </w:numPr>
      </w:pPr>
      <w:r>
        <w:t xml:space="preserve">Basel.</w:t>
      </w:r>
    </w:p>
    <w:p>
      <w:pPr>
        <w:pStyle w:val="Compact"/>
        <w:numPr>
          <w:ilvl w:val="0"/>
          <w:numId w:val="1012"/>
        </w:numPr>
      </w:pPr>
      <w:r>
        <w:t xml:space="preserve">Liquidity.</w:t>
      </w:r>
    </w:p>
    <w:p>
      <w:pPr>
        <w:pStyle w:val="Compact"/>
        <w:numPr>
          <w:ilvl w:val="0"/>
          <w:numId w:val="1012"/>
        </w:numPr>
      </w:pPr>
      <w:r>
        <w:t xml:space="preserve">Capital.</w:t>
      </w:r>
    </w:p>
    <w:p>
      <w:r>
        <w:pict>
          <v:rect style="width:0;height:1.5pt" o:hralign="center" o:hrstd="t" o:hr="t"/>
        </w:pict>
      </w:r>
    </w:p>
    <w:bookmarkEnd w:id="142"/>
    <w:bookmarkStart w:id="143" w:name="imf-and-oecd-resources"/>
    <w:p>
      <w:pPr>
        <w:pStyle w:val="Heading2"/>
      </w:pPr>
      <w:r>
        <w:t xml:space="preserve">IMF and OECD Resources</w:t>
      </w:r>
    </w:p>
    <w:p>
      <w:pPr>
        <w:pStyle w:val="FirstParagraph"/>
      </w:pPr>
      <w:r>
        <w:t xml:space="preserve">Including:</w:t>
      </w:r>
    </w:p>
    <w:p>
      <w:pPr>
        <w:pStyle w:val="Compact"/>
        <w:numPr>
          <w:ilvl w:val="0"/>
          <w:numId w:val="1013"/>
        </w:numPr>
      </w:pPr>
      <w:r>
        <w:t xml:space="preserve">Country analysis.</w:t>
      </w:r>
    </w:p>
    <w:p>
      <w:pPr>
        <w:pStyle w:val="Compact"/>
        <w:numPr>
          <w:ilvl w:val="0"/>
          <w:numId w:val="1013"/>
        </w:numPr>
      </w:pPr>
      <w:r>
        <w:t xml:space="preserve">Sovereign risk.</w:t>
      </w:r>
    </w:p>
    <w:p>
      <w:pPr>
        <w:pStyle w:val="Compact"/>
        <w:numPr>
          <w:ilvl w:val="0"/>
          <w:numId w:val="1013"/>
        </w:numPr>
      </w:pPr>
      <w:r>
        <w:t xml:space="preserve">Macro indicators.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practical-recommendation"/>
    <w:p>
      <w:pPr>
        <w:pStyle w:val="Heading1"/>
      </w:pPr>
      <w:r>
        <w:t xml:space="preserve">Practical Recommendation</w:t>
      </w:r>
    </w:p>
    <w:p>
      <w:pPr>
        <w:pStyle w:val="FirstParagraph"/>
      </w:pPr>
      <w:r>
        <w:t xml:space="preserve">The highest-value resources for credit analysts are:</w:t>
      </w:r>
    </w:p>
    <w:p>
      <w:pPr>
        <w:pStyle w:val="Compact"/>
        <w:numPr>
          <w:ilvl w:val="0"/>
          <w:numId w:val="1014"/>
        </w:numPr>
      </w:pPr>
      <w:r>
        <w:t xml:space="preserve">Company annual reports.</w:t>
      </w:r>
    </w:p>
    <w:p>
      <w:pPr>
        <w:pStyle w:val="Compact"/>
        <w:numPr>
          <w:ilvl w:val="0"/>
          <w:numId w:val="1014"/>
        </w:numPr>
      </w:pPr>
      <w:r>
        <w:t xml:space="preserve">Rating agency methodologies.</w:t>
      </w:r>
    </w:p>
    <w:p>
      <w:pPr>
        <w:pStyle w:val="Compact"/>
        <w:numPr>
          <w:ilvl w:val="0"/>
          <w:numId w:val="1014"/>
        </w:numPr>
      </w:pPr>
      <w:r>
        <w:t xml:space="preserve">SEC EDGAR.</w:t>
      </w:r>
    </w:p>
    <w:p>
      <w:pPr>
        <w:pStyle w:val="Compact"/>
        <w:numPr>
          <w:ilvl w:val="0"/>
          <w:numId w:val="1014"/>
        </w:numPr>
      </w:pPr>
      <w:r>
        <w:t xml:space="preserve">Bloomberg.</w:t>
      </w:r>
    </w:p>
    <w:p>
      <w:pPr>
        <w:pStyle w:val="Compact"/>
        <w:numPr>
          <w:ilvl w:val="0"/>
          <w:numId w:val="1014"/>
        </w:numPr>
      </w:pPr>
      <w:r>
        <w:t xml:space="preserve">APRA guidance.</w:t>
      </w:r>
    </w:p>
    <w:p>
      <w:pPr>
        <w:pStyle w:val="Compact"/>
        <w:numPr>
          <w:ilvl w:val="0"/>
          <w:numId w:val="1014"/>
        </w:numPr>
      </w:pPr>
      <w:r>
        <w:t xml:space="preserve">BIS publications.</w:t>
      </w:r>
    </w:p>
    <w:p>
      <w:pPr>
        <w:pStyle w:val="Compact"/>
        <w:numPr>
          <w:ilvl w:val="0"/>
          <w:numId w:val="1014"/>
        </w:numPr>
      </w:pPr>
      <w:r>
        <w:t xml:space="preserve">IMF reports.</w:t>
      </w:r>
    </w:p>
    <w:p>
      <w:pPr>
        <w:pStyle w:val="Compact"/>
        <w:numPr>
          <w:ilvl w:val="0"/>
          <w:numId w:val="1014"/>
        </w:numPr>
      </w:pPr>
      <w:r>
        <w:t xml:space="preserve">OECD reports.</w:t>
      </w:r>
    </w:p>
    <w:p>
      <w:pPr>
        <w:pStyle w:val="Compact"/>
        <w:numPr>
          <w:ilvl w:val="0"/>
          <w:numId w:val="1014"/>
        </w:numPr>
      </w:pPr>
      <w:r>
        <w:t xml:space="preserve">World Bank commodity outlooks.</w:t>
      </w:r>
    </w:p>
    <w:p>
      <w:pPr>
        <w:pStyle w:val="Compact"/>
        <w:numPr>
          <w:ilvl w:val="0"/>
          <w:numId w:val="1014"/>
        </w:numPr>
      </w:pPr>
      <w:r>
        <w:t xml:space="preserve">Specialist commodity research providers.</w:t>
      </w:r>
    </w:p>
    <w:p>
      <w:pPr>
        <w:pStyle w:val="FirstParagraph"/>
      </w:pPr>
      <w:r>
        <w:t xml:space="preserve">These sources form the foundation of the research capability used by most institutional credit investors and investment banks.</w:t>
      </w:r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2026-06-19T07:13:16Z</dcterms:created>
  <dcterms:modified xsi:type="dcterms:W3CDTF">2026-06-19T07:13:16Z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