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68cc4029bb02a85453ffbc7a45fe3363bd71012"/>
    <w:p>
      <w:pPr>
        <w:pStyle w:val="Heading1"/>
      </w:pPr>
      <w:r>
        <w:t xml:space="preserve">Tracking Companies and Information Sources for Credit Analysts</w:t>
      </w:r>
    </w:p>
    <w:p>
      <w:pPr>
        <w:pStyle w:val="FirstParagraph"/>
      </w:pPr>
      <w:r>
        <w:t xml:space="preserve">Monitoring counterparties, industries and regulatory developments is one of the most important responsibilities of a credit analyst.</w:t>
      </w:r>
    </w:p>
    <w:p>
      <w:pPr>
        <w:pStyle w:val="BodyText"/>
      </w:pPr>
      <w:r>
        <w:t xml:space="preserve">This page provides a framework and resources for tracking:</w:t>
      </w:r>
    </w:p>
    <w:p>
      <w:pPr>
        <w:pStyle w:val="Compact"/>
        <w:numPr>
          <w:ilvl w:val="0"/>
          <w:numId w:val="1001"/>
        </w:numPr>
      </w:pPr>
      <w:r>
        <w:t xml:space="preserve">Listed companies.</w:t>
      </w:r>
    </w:p>
    <w:p>
      <w:pPr>
        <w:pStyle w:val="Compact"/>
        <w:numPr>
          <w:ilvl w:val="0"/>
          <w:numId w:val="1001"/>
        </w:numPr>
      </w:pPr>
      <w:r>
        <w:t xml:space="preserve">Unlisted companies.</w:t>
      </w:r>
    </w:p>
    <w:p>
      <w:pPr>
        <w:pStyle w:val="Compact"/>
        <w:numPr>
          <w:ilvl w:val="0"/>
          <w:numId w:val="1001"/>
        </w:numPr>
      </w:pPr>
      <w:r>
        <w:t xml:space="preserve">Industries and commodities.</w:t>
      </w:r>
    </w:p>
    <w:p>
      <w:pPr>
        <w:pStyle w:val="Compact"/>
        <w:numPr>
          <w:ilvl w:val="0"/>
          <w:numId w:val="1001"/>
        </w:numPr>
      </w:pPr>
      <w:r>
        <w:t xml:space="preserve">Government and regulatory developments.</w:t>
      </w:r>
    </w:p>
    <w:p>
      <w:pPr>
        <w:pStyle w:val="Compact"/>
        <w:numPr>
          <w:ilvl w:val="0"/>
          <w:numId w:val="1001"/>
        </w:numPr>
      </w:pPr>
      <w:r>
        <w:t xml:space="preserve">Rating agencies.</w:t>
      </w:r>
    </w:p>
    <w:p>
      <w:pPr>
        <w:pStyle w:val="Compact"/>
        <w:numPr>
          <w:ilvl w:val="0"/>
          <w:numId w:val="1001"/>
        </w:numPr>
      </w:pPr>
      <w:r>
        <w:t xml:space="preserve">Debt issuance.</w:t>
      </w:r>
    </w:p>
    <w:p>
      <w:pPr>
        <w:pStyle w:val="Compact"/>
        <w:numPr>
          <w:ilvl w:val="0"/>
          <w:numId w:val="1001"/>
        </w:numPr>
      </w:pPr>
      <w:r>
        <w:t xml:space="preserve">Macro developments.</w:t>
      </w:r>
    </w:p>
    <w:p>
      <w:pPr>
        <w:pStyle w:val="Compact"/>
        <w:numPr>
          <w:ilvl w:val="0"/>
          <w:numId w:val="1001"/>
        </w:numPr>
      </w:pPr>
      <w:r>
        <w:t xml:space="preserve">Commodity markets.</w:t>
      </w:r>
    </w:p>
    <w:p>
      <w:pPr>
        <w:pStyle w:val="Compact"/>
        <w:numPr>
          <w:ilvl w:val="0"/>
          <w:numId w:val="1001"/>
        </w:numPr>
      </w:pPr>
      <w:r>
        <w:t xml:space="preserve">Counterparty news.</w:t>
      </w:r>
    </w:p>
    <w:p>
      <w:pPr>
        <w:pStyle w:val="FirstParagraph"/>
      </w:pPr>
      <w:r>
        <w:t xml:space="preserve">The objective is not to monitor everything. It is to create reliable information feeds so that important developments are identified early.</w:t>
      </w:r>
    </w:p>
    <w:p>
      <w:r>
        <w:pict>
          <v:rect style="width:0;height:1.5pt" o:hralign="center" o:hrstd="t" o:hr="t"/>
        </w:pict>
      </w:r>
    </w:p>
    <w:bookmarkEnd w:id="20"/>
    <w:bookmarkStart w:id="21" w:name="X7678cb471b56c0c3b87af97b4ac18f49e3f1b8c"/>
    <w:p>
      <w:pPr>
        <w:pStyle w:val="Heading1"/>
      </w:pPr>
      <w:r>
        <w:t xml:space="preserve">First Recommendation: Build Automated Information Feeds</w:t>
      </w:r>
    </w:p>
    <w:p>
      <w:pPr>
        <w:pStyle w:val="FirstParagraph"/>
      </w:pPr>
      <w:r>
        <w:t xml:space="preserve">Do not rely on memory.</w:t>
      </w:r>
    </w:p>
    <w:p>
      <w:pPr>
        <w:pStyle w:val="BodyText"/>
      </w:pPr>
      <w:r>
        <w:t xml:space="preserve">Where possible:</w:t>
      </w:r>
    </w:p>
    <w:p>
      <w:pPr>
        <w:pStyle w:val="Compact"/>
        <w:numPr>
          <w:ilvl w:val="0"/>
          <w:numId w:val="1002"/>
        </w:numPr>
      </w:pPr>
      <w:r>
        <w:t xml:space="preserve">Subscribe to alerts.</w:t>
      </w:r>
    </w:p>
    <w:p>
      <w:pPr>
        <w:pStyle w:val="Compact"/>
        <w:numPr>
          <w:ilvl w:val="0"/>
          <w:numId w:val="1002"/>
        </w:numPr>
      </w:pPr>
      <w:r>
        <w:t xml:space="preserve">Use RSS feeds.</w:t>
      </w:r>
    </w:p>
    <w:p>
      <w:pPr>
        <w:pStyle w:val="Compact"/>
        <w:numPr>
          <w:ilvl w:val="0"/>
          <w:numId w:val="1002"/>
        </w:numPr>
      </w:pPr>
      <w:r>
        <w:t xml:space="preserve">Set up Bloomberg alerts.</w:t>
      </w:r>
    </w:p>
    <w:p>
      <w:pPr>
        <w:pStyle w:val="Compact"/>
        <w:numPr>
          <w:ilvl w:val="0"/>
          <w:numId w:val="1002"/>
        </w:numPr>
      </w:pPr>
      <w:r>
        <w:t xml:space="preserve">Create email notifications.</w:t>
      </w:r>
    </w:p>
    <w:p>
      <w:pPr>
        <w:pStyle w:val="Compact"/>
        <w:numPr>
          <w:ilvl w:val="0"/>
          <w:numId w:val="1002"/>
        </w:numPr>
      </w:pPr>
      <w:r>
        <w:t xml:space="preserve">Use Teams channels.</w:t>
      </w:r>
    </w:p>
    <w:p>
      <w:pPr>
        <w:pStyle w:val="Compact"/>
        <w:numPr>
          <w:ilvl w:val="0"/>
          <w:numId w:val="1002"/>
        </w:numPr>
      </w:pPr>
      <w:r>
        <w:t xml:space="preserve">Use Outlook rules.</w:t>
      </w:r>
    </w:p>
    <w:p>
      <w:pPr>
        <w:pStyle w:val="Compact"/>
        <w:numPr>
          <w:ilvl w:val="0"/>
          <w:numId w:val="1002"/>
        </w:numPr>
      </w:pPr>
      <w:r>
        <w:t xml:space="preserve">Maintain company watchlists.</w:t>
      </w:r>
    </w:p>
    <w:p>
      <w:pPr>
        <w:pStyle w:val="FirstParagraph"/>
      </w:pPr>
      <w:r>
        <w:t xml:space="preserve">Good monitoring systems reduce manual effort and lower the risk of missing material developments.</w:t>
      </w:r>
    </w:p>
    <w:p>
      <w:r>
        <w:pict>
          <v:rect style="width:0;height:1.5pt" o:hralign="center" o:hrstd="t" o:hr="t"/>
        </w:pict>
      </w:r>
    </w:p>
    <w:bookmarkEnd w:id="21"/>
    <w:bookmarkStart w:id="30" w:name="monitoring-framework"/>
    <w:p>
      <w:pPr>
        <w:pStyle w:val="Heading1"/>
      </w:pPr>
      <w:r>
        <w:t xml:space="preserve">Monitoring Framework</w:t>
      </w:r>
    </w:p>
    <w:p>
      <w:pPr>
        <w:pStyle w:val="FirstParagraph"/>
      </w:pPr>
      <w:r>
        <w:t xml:space="preserve">Organise information into:</w:t>
      </w:r>
    </w:p>
    <w:bookmarkStart w:id="22" w:name="counterparties"/>
    <w:p>
      <w:pPr>
        <w:pStyle w:val="Heading3"/>
      </w:pPr>
      <w:r>
        <w:t xml:space="preserve">Counterparties</w:t>
      </w:r>
    </w:p>
    <w:p>
      <w:pPr>
        <w:pStyle w:val="FirstParagraph"/>
      </w:pPr>
      <w:r>
        <w:t xml:space="preserve">Companies under review.</w:t>
      </w:r>
    </w:p>
    <w:bookmarkEnd w:id="22"/>
    <w:bookmarkStart w:id="23" w:name="industries"/>
    <w:p>
      <w:pPr>
        <w:pStyle w:val="Heading3"/>
      </w:pPr>
      <w:r>
        <w:t xml:space="preserve">Industries</w:t>
      </w:r>
    </w:p>
    <w:p>
      <w:pPr>
        <w:pStyle w:val="FirstParagraph"/>
      </w:pPr>
      <w:r>
        <w:t xml:space="preserve">Mining, metals, oil &amp; gas, utilities, etc.</w:t>
      </w:r>
    </w:p>
    <w:bookmarkEnd w:id="23"/>
    <w:bookmarkStart w:id="24" w:name="commodities"/>
    <w:p>
      <w:pPr>
        <w:pStyle w:val="Heading3"/>
      </w:pPr>
      <w:r>
        <w:t xml:space="preserve">Commodities</w:t>
      </w:r>
    </w:p>
    <w:p>
      <w:pPr>
        <w:pStyle w:val="FirstParagraph"/>
      </w:pPr>
      <w:r>
        <w:t xml:space="preserve">Copper, gold, coal, iron ore, oil, gas.</w:t>
      </w:r>
    </w:p>
    <w:bookmarkEnd w:id="24"/>
    <w:bookmarkStart w:id="25" w:name="governments-and-regulators"/>
    <w:p>
      <w:pPr>
        <w:pStyle w:val="Heading3"/>
      </w:pPr>
      <w:r>
        <w:t xml:space="preserve">Governments and Regulators</w:t>
      </w:r>
    </w:p>
    <w:p>
      <w:pPr>
        <w:pStyle w:val="FirstParagraph"/>
      </w:pPr>
      <w:r>
        <w:t xml:space="preserve">APRA, ASIC, SEC, FCA, MAS.</w:t>
      </w:r>
    </w:p>
    <w:bookmarkEnd w:id="25"/>
    <w:bookmarkStart w:id="26" w:name="rating-agencies"/>
    <w:p>
      <w:pPr>
        <w:pStyle w:val="Heading3"/>
      </w:pPr>
      <w:r>
        <w:t xml:space="preserve">Rating Agencies</w:t>
      </w:r>
    </w:p>
    <w:p>
      <w:pPr>
        <w:pStyle w:val="FirstParagraph"/>
      </w:pPr>
      <w:r>
        <w:t xml:space="preserve">Moody’s, S&amp;P, Fitch.</w:t>
      </w:r>
    </w:p>
    <w:bookmarkEnd w:id="26"/>
    <w:bookmarkStart w:id="27" w:name="markets"/>
    <w:p>
      <w:pPr>
        <w:pStyle w:val="Heading3"/>
      </w:pPr>
      <w:r>
        <w:t xml:space="preserve">Markets</w:t>
      </w:r>
    </w:p>
    <w:p>
      <w:pPr>
        <w:pStyle w:val="FirstParagraph"/>
      </w:pPr>
      <w:r>
        <w:t xml:space="preserve">Interest rates, currencies, spreads.</w:t>
      </w:r>
    </w:p>
    <w:bookmarkEnd w:id="27"/>
    <w:bookmarkStart w:id="28" w:name="news"/>
    <w:p>
      <w:pPr>
        <w:pStyle w:val="Heading3"/>
      </w:pPr>
      <w:r>
        <w:t xml:space="preserve">News</w:t>
      </w:r>
    </w:p>
    <w:p>
      <w:pPr>
        <w:pStyle w:val="FirstParagraph"/>
      </w:pPr>
      <w:r>
        <w:t xml:space="preserve">Announcements and media.</w:t>
      </w:r>
    </w:p>
    <w:bookmarkEnd w:id="28"/>
    <w:bookmarkStart w:id="29" w:name="debt-issuance"/>
    <w:p>
      <w:pPr>
        <w:pStyle w:val="Heading3"/>
      </w:pPr>
      <w:r>
        <w:t xml:space="preserve">Debt Issuance</w:t>
      </w:r>
    </w:p>
    <w:p>
      <w:pPr>
        <w:pStyle w:val="FirstParagraph"/>
      </w:pPr>
      <w:r>
        <w:t xml:space="preserve">New financings and refinancing activity.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exchange-announcements"/>
    <w:p>
      <w:pPr>
        <w:pStyle w:val="Heading1"/>
      </w:pPr>
      <w:r>
        <w:t xml:space="preserve">Exchange Announcements</w:t>
      </w:r>
    </w:p>
    <w:p>
      <w:pPr>
        <w:pStyle w:val="FirstParagraph"/>
      </w:pPr>
      <w:r>
        <w:t xml:space="preserve">One of the most valuable sources.</w:t>
      </w:r>
    </w:p>
    <w:p>
      <w:pPr>
        <w:pStyle w:val="BodyText"/>
      </w:pPr>
      <w:r>
        <w:t xml:space="preserve">These represent the closest thing to the source of truth.</w:t>
      </w:r>
    </w:p>
    <w:p>
      <w:r>
        <w:pict>
          <v:rect style="width:0;height:1.5pt" o:hralign="center" o:hrstd="t" o:hr="t"/>
        </w:pict>
      </w:r>
    </w:p>
    <w:bookmarkEnd w:id="31"/>
    <w:bookmarkStart w:id="33" w:name="australian-securities-exchange-asx"/>
    <w:p>
      <w:pPr>
        <w:pStyle w:val="Heading1"/>
      </w:pPr>
      <w:r>
        <w:t xml:space="preserve">Australian Securities Exchange (ASX)</w:t>
      </w:r>
    </w:p>
    <w:p>
      <w:pPr>
        <w:pStyle w:val="FirstParagraph"/>
      </w:pPr>
      <w:r>
        <w:t xml:space="preserve">https://www.asx.com.au</w:t>
      </w:r>
    </w:p>
    <w:p>
      <w:pPr>
        <w:pStyle w:val="BodyText"/>
      </w:pPr>
      <w:r>
        <w:t xml:space="preserve">Company Announcements:</w:t>
      </w:r>
    </w:p>
    <w:p>
      <w:pPr>
        <w:pStyle w:val="BodyText"/>
      </w:pPr>
      <w:r>
        <w:t xml:space="preserve">https://www.asx.com.au/markets/trade-our-cash-market/announcements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3"/>
        </w:numPr>
      </w:pPr>
      <w:r>
        <w:t xml:space="preserve">Quarterly reports.</w:t>
      </w:r>
    </w:p>
    <w:p>
      <w:pPr>
        <w:pStyle w:val="Compact"/>
        <w:numPr>
          <w:ilvl w:val="0"/>
          <w:numId w:val="1003"/>
        </w:numPr>
      </w:pPr>
      <w:r>
        <w:t xml:space="preserve">Production reports.</w:t>
      </w:r>
    </w:p>
    <w:p>
      <w:pPr>
        <w:pStyle w:val="Compact"/>
        <w:numPr>
          <w:ilvl w:val="0"/>
          <w:numId w:val="1003"/>
        </w:numPr>
      </w:pPr>
      <w:r>
        <w:t xml:space="preserve">Earnings releases.</w:t>
      </w:r>
    </w:p>
    <w:p>
      <w:pPr>
        <w:pStyle w:val="Compact"/>
        <w:numPr>
          <w:ilvl w:val="0"/>
          <w:numId w:val="1003"/>
        </w:numPr>
      </w:pPr>
      <w:r>
        <w:t xml:space="preserve">Capital raisings.</w:t>
      </w:r>
    </w:p>
    <w:p>
      <w:pPr>
        <w:pStyle w:val="Compact"/>
        <w:numPr>
          <w:ilvl w:val="0"/>
          <w:numId w:val="1003"/>
        </w:numPr>
      </w:pPr>
      <w:r>
        <w:t xml:space="preserve">M&amp;A announcements.</w:t>
      </w:r>
    </w:p>
    <w:bookmarkStart w:id="32" w:name="alerts"/>
    <w:p>
      <w:pPr>
        <w:pStyle w:val="Heading3"/>
      </w:pPr>
      <w:r>
        <w:t xml:space="preserve">Alerts</w:t>
      </w:r>
    </w:p>
    <w:p>
      <w:pPr>
        <w:pStyle w:val="FirstParagraph"/>
      </w:pPr>
      <w:r>
        <w:t xml:space="preserve">Users can create watchlists and email alerts.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london-stock-exchange"/>
    <w:p>
      <w:pPr>
        <w:pStyle w:val="Heading1"/>
      </w:pPr>
      <w:r>
        <w:t xml:space="preserve">London Stock Exchange</w:t>
      </w:r>
    </w:p>
    <w:p>
      <w:pPr>
        <w:pStyle w:val="FirstParagraph"/>
      </w:pPr>
      <w:r>
        <w:t xml:space="preserve">https://www.londonstockexchange.com</w:t>
      </w:r>
    </w:p>
    <w:p>
      <w:pPr>
        <w:pStyle w:val="BodyText"/>
      </w:pPr>
      <w:r>
        <w:t xml:space="preserve">Regulatory News Service (RNS):</w:t>
      </w:r>
    </w:p>
    <w:p>
      <w:pPr>
        <w:pStyle w:val="BodyText"/>
      </w:pPr>
      <w:r>
        <w:t xml:space="preserve">https://www.londonstockexchange.com/news</w:t>
      </w:r>
    </w:p>
    <w:p>
      <w:pPr>
        <w:pStyle w:val="BodyText"/>
      </w:pPr>
      <w:r>
        <w:t xml:space="preserve">Very useful for:</w:t>
      </w:r>
    </w:p>
    <w:p>
      <w:pPr>
        <w:pStyle w:val="Compact"/>
        <w:numPr>
          <w:ilvl w:val="0"/>
          <w:numId w:val="1004"/>
        </w:numPr>
      </w:pPr>
      <w:r>
        <w:t xml:space="preserve">Mining companies.</w:t>
      </w:r>
    </w:p>
    <w:p>
      <w:pPr>
        <w:pStyle w:val="Compact"/>
        <w:numPr>
          <w:ilvl w:val="0"/>
          <w:numId w:val="1004"/>
        </w:numPr>
      </w:pPr>
      <w:r>
        <w:t xml:space="preserve">Global corporates.</w:t>
      </w:r>
    </w:p>
    <w:p>
      <w:r>
        <w:pict>
          <v:rect style="width:0;height:1.5pt" o:hralign="center" o:hrstd="t" o:hr="t"/>
        </w:pict>
      </w:r>
    </w:p>
    <w:bookmarkEnd w:id="34"/>
    <w:bookmarkStart w:id="35" w:name="new-york-stock-exchange-nyse"/>
    <w:p>
      <w:pPr>
        <w:pStyle w:val="Heading1"/>
      </w:pPr>
      <w:r>
        <w:t xml:space="preserve">New York Stock Exchange (NYSE)</w:t>
      </w:r>
    </w:p>
    <w:p>
      <w:pPr>
        <w:pStyle w:val="FirstParagraph"/>
      </w:pPr>
      <w:r>
        <w:t xml:space="preserve">https://www.nyse.com</w:t>
      </w:r>
    </w:p>
    <w:p>
      <w:pPr>
        <w:pStyle w:val="BodyText"/>
      </w:pPr>
      <w:r>
        <w:t xml:space="preserve">Company news:</w:t>
      </w:r>
    </w:p>
    <w:p>
      <w:pPr>
        <w:pStyle w:val="BodyText"/>
      </w:pPr>
      <w:r>
        <w:t xml:space="preserve">https://www.nyse.com/news</w:t>
      </w:r>
    </w:p>
    <w:p>
      <w:r>
        <w:pict>
          <v:rect style="width:0;height:1.5pt" o:hralign="center" o:hrstd="t" o:hr="t"/>
        </w:pict>
      </w:r>
    </w:p>
    <w:bookmarkEnd w:id="35"/>
    <w:bookmarkStart w:id="36" w:name="nasdaq"/>
    <w:p>
      <w:pPr>
        <w:pStyle w:val="Heading1"/>
      </w:pPr>
      <w:r>
        <w:t xml:space="preserve">NASDAQ</w:t>
      </w:r>
    </w:p>
    <w:p>
      <w:pPr>
        <w:pStyle w:val="FirstParagraph"/>
      </w:pPr>
      <w:r>
        <w:t xml:space="preserve">https://www.nasdaq.com</w:t>
      </w:r>
    </w:p>
    <w:p>
      <w:pPr>
        <w:pStyle w:val="BodyText"/>
      </w:pPr>
      <w:r>
        <w:t xml:space="preserve">Useful for:</w:t>
      </w:r>
    </w:p>
    <w:p>
      <w:pPr>
        <w:pStyle w:val="Compact"/>
        <w:numPr>
          <w:ilvl w:val="0"/>
          <w:numId w:val="1005"/>
        </w:numPr>
      </w:pPr>
      <w:r>
        <w:t xml:space="preserve">US corporates.</w:t>
      </w:r>
    </w:p>
    <w:p>
      <w:pPr>
        <w:pStyle w:val="Compact"/>
        <w:numPr>
          <w:ilvl w:val="0"/>
          <w:numId w:val="1005"/>
        </w:numPr>
      </w:pPr>
      <w:r>
        <w:t xml:space="preserve">Technology companies.</w:t>
      </w:r>
    </w:p>
    <w:p>
      <w:r>
        <w:pict>
          <v:rect style="width:0;height:1.5pt" o:hralign="center" o:hrstd="t" o:hr="t"/>
        </w:pict>
      </w:r>
    </w:p>
    <w:bookmarkEnd w:id="36"/>
    <w:bookmarkStart w:id="37" w:name="toronto-stock-exchange-tsx"/>
    <w:p>
      <w:pPr>
        <w:pStyle w:val="Heading1"/>
      </w:pPr>
      <w:r>
        <w:t xml:space="preserve">Toronto Stock Exchange (TSX)</w:t>
      </w:r>
    </w:p>
    <w:p>
      <w:pPr>
        <w:pStyle w:val="FirstParagraph"/>
      </w:pPr>
      <w:r>
        <w:t xml:space="preserve">https://www.tsx.com</w:t>
      </w:r>
    </w:p>
    <w:p>
      <w:pPr>
        <w:pStyle w:val="BodyText"/>
      </w:pPr>
      <w:r>
        <w:t xml:space="preserve">Important for:</w:t>
      </w:r>
    </w:p>
    <w:p>
      <w:pPr>
        <w:pStyle w:val="Compact"/>
        <w:numPr>
          <w:ilvl w:val="0"/>
          <w:numId w:val="1006"/>
        </w:numPr>
      </w:pPr>
      <w:r>
        <w:t xml:space="preserve">Mining companies.</w:t>
      </w:r>
    </w:p>
    <w:p>
      <w:pPr>
        <w:pStyle w:val="Compact"/>
        <w:numPr>
          <w:ilvl w:val="0"/>
          <w:numId w:val="1006"/>
        </w:numPr>
      </w:pPr>
      <w:r>
        <w:t xml:space="preserve">Gold producers.</w:t>
      </w:r>
    </w:p>
    <w:p>
      <w:r>
        <w:pict>
          <v:rect style="width:0;height:1.5pt" o:hralign="center" o:hrstd="t" o:hr="t"/>
        </w:pict>
      </w:r>
    </w:p>
    <w:bookmarkEnd w:id="37"/>
    <w:bookmarkStart w:id="38" w:name="johannesburg-stock-exchange-jse"/>
    <w:p>
      <w:pPr>
        <w:pStyle w:val="Heading1"/>
      </w:pPr>
      <w:r>
        <w:t xml:space="preserve">Johannesburg Stock Exchange (JSE)</w:t>
      </w:r>
    </w:p>
    <w:p>
      <w:pPr>
        <w:pStyle w:val="FirstParagraph"/>
      </w:pPr>
      <w:r>
        <w:t xml:space="preserve">https://www.jse.co.za</w:t>
      </w:r>
    </w:p>
    <w:p>
      <w:pPr>
        <w:pStyle w:val="BodyText"/>
      </w:pPr>
      <w:r>
        <w:t xml:space="preserve">Useful for:</w:t>
      </w:r>
    </w:p>
    <w:p>
      <w:pPr>
        <w:pStyle w:val="Compact"/>
        <w:numPr>
          <w:ilvl w:val="0"/>
          <w:numId w:val="1007"/>
        </w:numPr>
      </w:pPr>
      <w:r>
        <w:t xml:space="preserve">African mining exposure.</w:t>
      </w:r>
    </w:p>
    <w:p>
      <w:r>
        <w:pict>
          <v:rect style="width:0;height:1.5pt" o:hralign="center" o:hrstd="t" o:hr="t"/>
        </w:pict>
      </w:r>
    </w:p>
    <w:bookmarkEnd w:id="38"/>
    <w:bookmarkStart w:id="39" w:name="hkex"/>
    <w:p>
      <w:pPr>
        <w:pStyle w:val="Heading1"/>
      </w:pPr>
      <w:r>
        <w:t xml:space="preserve">HKEX</w:t>
      </w:r>
    </w:p>
    <w:p>
      <w:pPr>
        <w:pStyle w:val="FirstParagraph"/>
      </w:pPr>
      <w:r>
        <w:t xml:space="preserve">https://www.hkex.com.hk</w:t>
      </w:r>
    </w:p>
    <w:p>
      <w:pPr>
        <w:pStyle w:val="BodyText"/>
      </w:pPr>
      <w:r>
        <w:t xml:space="preserve">Useful for:</w:t>
      </w:r>
    </w:p>
    <w:p>
      <w:pPr>
        <w:pStyle w:val="Compact"/>
        <w:numPr>
          <w:ilvl w:val="0"/>
          <w:numId w:val="1008"/>
        </w:numPr>
      </w:pPr>
      <w:r>
        <w:t xml:space="preserve">Chinese and Asian corporates.</w:t>
      </w:r>
    </w:p>
    <w:p>
      <w:r>
        <w:pict>
          <v:rect style="width:0;height:1.5pt" o:hralign="center" o:hrstd="t" o:hr="t"/>
        </w:pict>
      </w:r>
    </w:p>
    <w:bookmarkEnd w:id="39"/>
    <w:bookmarkStart w:id="40" w:name="singapore-exchange-sgx"/>
    <w:p>
      <w:pPr>
        <w:pStyle w:val="Heading1"/>
      </w:pPr>
      <w:r>
        <w:t xml:space="preserve">Singapore Exchange (SGX)</w:t>
      </w:r>
    </w:p>
    <w:p>
      <w:pPr>
        <w:pStyle w:val="FirstParagraph"/>
      </w:pPr>
      <w:r>
        <w:t xml:space="preserve">https://www.sgx.com</w:t>
      </w:r>
    </w:p>
    <w:p>
      <w:pPr>
        <w:pStyle w:val="BodyText"/>
      </w:pPr>
      <w:r>
        <w:t xml:space="preserve">Important for:</w:t>
      </w:r>
    </w:p>
    <w:p>
      <w:pPr>
        <w:pStyle w:val="Compact"/>
        <w:numPr>
          <w:ilvl w:val="0"/>
          <w:numId w:val="1009"/>
        </w:numPr>
      </w:pPr>
      <w:r>
        <w:t xml:space="preserve">Commodity traders.</w:t>
      </w:r>
    </w:p>
    <w:p>
      <w:pPr>
        <w:pStyle w:val="Compact"/>
        <w:numPr>
          <w:ilvl w:val="0"/>
          <w:numId w:val="1009"/>
        </w:numPr>
      </w:pPr>
      <w:r>
        <w:t xml:space="preserve">Shipping companies.</w:t>
      </w:r>
    </w:p>
    <w:p>
      <w:r>
        <w:pict>
          <v:rect style="width:0;height:1.5pt" o:hralign="center" o:hrstd="t" o:hr="t"/>
        </w:pict>
      </w:r>
    </w:p>
    <w:bookmarkEnd w:id="40"/>
    <w:bookmarkStart w:id="46" w:name="bloomberg-alerts"/>
    <w:p>
      <w:pPr>
        <w:pStyle w:val="Heading1"/>
      </w:pPr>
      <w:r>
        <w:t xml:space="preserve">Bloomberg Alerts</w:t>
      </w:r>
    </w:p>
    <w:p>
      <w:pPr>
        <w:pStyle w:val="FirstParagraph"/>
      </w:pPr>
      <w:r>
        <w:t xml:space="preserve">Probably the most powerful professional solution.</w:t>
      </w:r>
    </w:p>
    <w:p>
      <w:pPr>
        <w:pStyle w:val="BodyText"/>
      </w:pPr>
      <w:r>
        <w:t xml:space="preserve">Monitor:</w:t>
      </w:r>
    </w:p>
    <w:p>
      <w:pPr>
        <w:pStyle w:val="Compact"/>
        <w:numPr>
          <w:ilvl w:val="0"/>
          <w:numId w:val="1010"/>
        </w:numPr>
      </w:pPr>
      <w:r>
        <w:t xml:space="preserve">Company news.</w:t>
      </w:r>
    </w:p>
    <w:p>
      <w:pPr>
        <w:pStyle w:val="Compact"/>
        <w:numPr>
          <w:ilvl w:val="0"/>
          <w:numId w:val="1010"/>
        </w:numPr>
      </w:pPr>
      <w:r>
        <w:t xml:space="preserve">Commodity prices.</w:t>
      </w:r>
    </w:p>
    <w:p>
      <w:pPr>
        <w:pStyle w:val="Compact"/>
        <w:numPr>
          <w:ilvl w:val="0"/>
          <w:numId w:val="1010"/>
        </w:numPr>
      </w:pPr>
      <w:r>
        <w:t xml:space="preserve">Ratings changes.</w:t>
      </w:r>
    </w:p>
    <w:p>
      <w:pPr>
        <w:pStyle w:val="Compact"/>
        <w:numPr>
          <w:ilvl w:val="0"/>
          <w:numId w:val="1010"/>
        </w:numPr>
      </w:pPr>
      <w:r>
        <w:t xml:space="preserve">Bond spreads.</w:t>
      </w:r>
    </w:p>
    <w:p>
      <w:pPr>
        <w:pStyle w:val="Compact"/>
        <w:numPr>
          <w:ilvl w:val="0"/>
          <w:numId w:val="1010"/>
        </w:numPr>
      </w:pPr>
      <w:r>
        <w:t xml:space="preserve">Economic releases.</w:t>
      </w:r>
    </w:p>
    <w:p>
      <w:pPr>
        <w:pStyle w:val="FirstParagraph"/>
      </w:pPr>
      <w:r>
        <w:t xml:space="preserve">Useful functions:</w:t>
      </w:r>
    </w:p>
    <w:bookmarkStart w:id="41" w:name="cn"/>
    <w:p>
      <w:pPr>
        <w:pStyle w:val="Heading3"/>
      </w:pPr>
      <w:r>
        <w:t xml:space="preserve">CN</w:t>
      </w:r>
    </w:p>
    <w:p>
      <w:pPr>
        <w:pStyle w:val="FirstParagraph"/>
      </w:pPr>
      <w:r>
        <w:t xml:space="preserve">Company News.</w:t>
      </w:r>
    </w:p>
    <w:bookmarkEnd w:id="41"/>
    <w:bookmarkStart w:id="42" w:name="ni"/>
    <w:p>
      <w:pPr>
        <w:pStyle w:val="Heading3"/>
      </w:pPr>
      <w:r>
        <w:t xml:space="preserve">NI</w:t>
      </w:r>
    </w:p>
    <w:p>
      <w:pPr>
        <w:pStyle w:val="FirstParagraph"/>
      </w:pPr>
      <w:r>
        <w:t xml:space="preserve">News.</w:t>
      </w:r>
    </w:p>
    <w:bookmarkEnd w:id="42"/>
    <w:bookmarkStart w:id="43" w:name="alert"/>
    <w:p>
      <w:pPr>
        <w:pStyle w:val="Heading3"/>
      </w:pPr>
      <w:r>
        <w:t xml:space="preserve">ALERT</w:t>
      </w:r>
    </w:p>
    <w:p>
      <w:pPr>
        <w:pStyle w:val="FirstParagraph"/>
      </w:pPr>
      <w:r>
        <w:t xml:space="preserve">Alert creation.</w:t>
      </w:r>
    </w:p>
    <w:bookmarkEnd w:id="43"/>
    <w:bookmarkStart w:id="44" w:name="eco"/>
    <w:p>
      <w:pPr>
        <w:pStyle w:val="Heading3"/>
      </w:pPr>
      <w:r>
        <w:t xml:space="preserve">ECO</w:t>
      </w:r>
    </w:p>
    <w:p>
      <w:pPr>
        <w:pStyle w:val="FirstParagraph"/>
      </w:pPr>
      <w:r>
        <w:t xml:space="preserve">Economic calendar.</w:t>
      </w:r>
    </w:p>
    <w:bookmarkEnd w:id="44"/>
    <w:bookmarkStart w:id="45" w:name="bi"/>
    <w:p>
      <w:pPr>
        <w:pStyle w:val="Heading3"/>
      </w:pPr>
      <w:r>
        <w:t xml:space="preserve">BI</w:t>
      </w:r>
    </w:p>
    <w:p>
      <w:pPr>
        <w:pStyle w:val="FirstParagraph"/>
      </w:pPr>
      <w:r>
        <w:t xml:space="preserve">Bloomberg Intelligence.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regulatory-sources"/>
    <w:p>
      <w:pPr>
        <w:pStyle w:val="Heading1"/>
      </w:pPr>
      <w:r>
        <w:t xml:space="preserve">Regulatory Sources</w:t>
      </w:r>
    </w:p>
    <w:bookmarkEnd w:id="47"/>
    <w:bookmarkStart w:id="51" w:name="australia"/>
    <w:p>
      <w:pPr>
        <w:pStyle w:val="Heading1"/>
      </w:pPr>
      <w:r>
        <w:t xml:space="preserve">Australia</w:t>
      </w:r>
    </w:p>
    <w:bookmarkStart w:id="48" w:name="apra"/>
    <w:p>
      <w:pPr>
        <w:pStyle w:val="Heading2"/>
      </w:pPr>
      <w:r>
        <w:t xml:space="preserve">APRA</w:t>
      </w:r>
    </w:p>
    <w:p>
      <w:pPr>
        <w:pStyle w:val="FirstParagraph"/>
      </w:pPr>
      <w:r>
        <w:t xml:space="preserve">https://www.apra.gov.au</w:t>
      </w:r>
    </w:p>
    <w:p>
      <w:pPr>
        <w:pStyle w:val="BodyText"/>
      </w:pPr>
      <w:r>
        <w:t xml:space="preserve">Notifications available.</w:t>
      </w:r>
    </w:p>
    <w:p>
      <w:pPr>
        <w:pStyle w:val="BodyText"/>
      </w:pPr>
      <w:r>
        <w:t xml:space="preserve">Useful for:</w:t>
      </w:r>
    </w:p>
    <w:p>
      <w:pPr>
        <w:pStyle w:val="Compact"/>
        <w:numPr>
          <w:ilvl w:val="0"/>
          <w:numId w:val="1011"/>
        </w:numPr>
      </w:pPr>
      <w:r>
        <w:t xml:space="preserve">Prudential standards.</w:t>
      </w:r>
    </w:p>
    <w:p>
      <w:pPr>
        <w:pStyle w:val="Compact"/>
        <w:numPr>
          <w:ilvl w:val="0"/>
          <w:numId w:val="1011"/>
        </w:numPr>
      </w:pPr>
      <w:r>
        <w:t xml:space="preserve">Banking guidance.</w:t>
      </w:r>
    </w:p>
    <w:p>
      <w:pPr>
        <w:pStyle w:val="Compact"/>
        <w:numPr>
          <w:ilvl w:val="0"/>
          <w:numId w:val="1011"/>
        </w:numPr>
      </w:pPr>
      <w:r>
        <w:t xml:space="preserve">Speeches.</w:t>
      </w:r>
    </w:p>
    <w:p>
      <w:r>
        <w:pict>
          <v:rect style="width:0;height:1.5pt" o:hralign="center" o:hrstd="t" o:hr="t"/>
        </w:pict>
      </w:r>
    </w:p>
    <w:bookmarkEnd w:id="48"/>
    <w:bookmarkStart w:id="49" w:name="asic"/>
    <w:p>
      <w:pPr>
        <w:pStyle w:val="Heading2"/>
      </w:pPr>
      <w:r>
        <w:t xml:space="preserve">ASIC</w:t>
      </w:r>
    </w:p>
    <w:p>
      <w:pPr>
        <w:pStyle w:val="FirstParagraph"/>
      </w:pPr>
      <w:r>
        <w:t xml:space="preserve">https://asic.gov.au</w:t>
      </w:r>
    </w:p>
    <w:p>
      <w:pPr>
        <w:pStyle w:val="BodyText"/>
      </w:pPr>
      <w:r>
        <w:t xml:space="preserve">Useful for:</w:t>
      </w:r>
    </w:p>
    <w:p>
      <w:pPr>
        <w:pStyle w:val="Compact"/>
        <w:numPr>
          <w:ilvl w:val="0"/>
          <w:numId w:val="1012"/>
        </w:numPr>
      </w:pPr>
      <w:r>
        <w:t xml:space="preserve">Enforcement actions.</w:t>
      </w:r>
    </w:p>
    <w:p>
      <w:pPr>
        <w:pStyle w:val="Compact"/>
        <w:numPr>
          <w:ilvl w:val="0"/>
          <w:numId w:val="1012"/>
        </w:numPr>
      </w:pPr>
      <w:r>
        <w:t xml:space="preserve">Corporate announcements.</w:t>
      </w:r>
    </w:p>
    <w:p>
      <w:r>
        <w:pict>
          <v:rect style="width:0;height:1.5pt" o:hralign="center" o:hrstd="t" o:hr="t"/>
        </w:pict>
      </w:r>
    </w:p>
    <w:bookmarkEnd w:id="49"/>
    <w:bookmarkStart w:id="50" w:name="rba"/>
    <w:p>
      <w:pPr>
        <w:pStyle w:val="Heading2"/>
      </w:pPr>
      <w:r>
        <w:t xml:space="preserve">RBA</w:t>
      </w:r>
    </w:p>
    <w:p>
      <w:pPr>
        <w:pStyle w:val="FirstParagraph"/>
      </w:pPr>
      <w:r>
        <w:t xml:space="preserve">https://www.rba.gov.au</w:t>
      </w:r>
    </w:p>
    <w:p>
      <w:pPr>
        <w:pStyle w:val="BodyText"/>
      </w:pPr>
      <w:r>
        <w:t xml:space="preserve">Useful for:</w:t>
      </w:r>
    </w:p>
    <w:p>
      <w:pPr>
        <w:pStyle w:val="Compact"/>
        <w:numPr>
          <w:ilvl w:val="0"/>
          <w:numId w:val="1013"/>
        </w:numPr>
      </w:pPr>
      <w:r>
        <w:t xml:space="preserve">Interest rates.</w:t>
      </w:r>
    </w:p>
    <w:p>
      <w:pPr>
        <w:pStyle w:val="Compact"/>
        <w:numPr>
          <w:ilvl w:val="0"/>
          <w:numId w:val="1013"/>
        </w:numPr>
      </w:pPr>
      <w:r>
        <w:t xml:space="preserve">Monetary policy.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united-states"/>
    <w:p>
      <w:pPr>
        <w:pStyle w:val="Heading1"/>
      </w:pPr>
      <w:r>
        <w:t xml:space="preserve">United States</w:t>
      </w:r>
    </w:p>
    <w:bookmarkStart w:id="52" w:name="sec"/>
    <w:p>
      <w:pPr>
        <w:pStyle w:val="Heading2"/>
      </w:pPr>
      <w:r>
        <w:t xml:space="preserve">SEC</w:t>
      </w:r>
    </w:p>
    <w:p>
      <w:pPr>
        <w:pStyle w:val="FirstParagraph"/>
      </w:pPr>
      <w:r>
        <w:t xml:space="preserve">https://www.sec.gov</w:t>
      </w:r>
    </w:p>
    <w:p>
      <w:pPr>
        <w:pStyle w:val="BodyText"/>
      </w:pPr>
      <w:r>
        <w:t xml:space="preserve">EDGAR:</w:t>
      </w:r>
    </w:p>
    <w:p>
      <w:pPr>
        <w:pStyle w:val="BodyText"/>
      </w:pPr>
      <w:r>
        <w:t xml:space="preserve">https://www.sec.gov/edgar</w:t>
      </w:r>
    </w:p>
    <w:p>
      <w:pPr>
        <w:pStyle w:val="BodyText"/>
      </w:pPr>
      <w:r>
        <w:t xml:space="preserve">The source of truth for US filings.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4"/>
        </w:numPr>
      </w:pPr>
      <w:r>
        <w:t xml:space="preserve">10-K.</w:t>
      </w:r>
    </w:p>
    <w:p>
      <w:pPr>
        <w:pStyle w:val="Compact"/>
        <w:numPr>
          <w:ilvl w:val="0"/>
          <w:numId w:val="1014"/>
        </w:numPr>
      </w:pPr>
      <w:r>
        <w:t xml:space="preserve">10-Q.</w:t>
      </w:r>
    </w:p>
    <w:p>
      <w:pPr>
        <w:pStyle w:val="Compact"/>
        <w:numPr>
          <w:ilvl w:val="0"/>
          <w:numId w:val="1014"/>
        </w:numPr>
      </w:pPr>
      <w:r>
        <w:t xml:space="preserve">8-K.</w:t>
      </w:r>
    </w:p>
    <w:p>
      <w:pPr>
        <w:pStyle w:val="Compact"/>
        <w:numPr>
          <w:ilvl w:val="0"/>
          <w:numId w:val="1014"/>
        </w:numPr>
      </w:pPr>
      <w:r>
        <w:t xml:space="preserve">Debt documents.</w:t>
      </w:r>
    </w:p>
    <w:p>
      <w:pPr>
        <w:pStyle w:val="FirstParagraph"/>
      </w:pPr>
      <w:r>
        <w:t xml:space="preserve">Email alerts available.</w:t>
      </w:r>
    </w:p>
    <w:p>
      <w:r>
        <w:pict>
          <v:rect style="width:0;height:1.5pt" o:hralign="center" o:hrstd="t" o:hr="t"/>
        </w:pict>
      </w:r>
    </w:p>
    <w:bookmarkEnd w:id="52"/>
    <w:bookmarkStart w:id="53" w:name="federal-reserve"/>
    <w:p>
      <w:pPr>
        <w:pStyle w:val="Heading2"/>
      </w:pPr>
      <w:r>
        <w:t xml:space="preserve">Federal Reserve</w:t>
      </w:r>
    </w:p>
    <w:p>
      <w:pPr>
        <w:pStyle w:val="FirstParagraph"/>
      </w:pPr>
      <w:r>
        <w:t xml:space="preserve">https://www.federalreserve.gov</w:t>
      </w:r>
    </w:p>
    <w:p>
      <w:pPr>
        <w:pStyle w:val="BodyText"/>
      </w:pPr>
      <w:r>
        <w:t xml:space="preserve">Useful for:</w:t>
      </w:r>
    </w:p>
    <w:p>
      <w:pPr>
        <w:pStyle w:val="Compact"/>
        <w:numPr>
          <w:ilvl w:val="0"/>
          <w:numId w:val="1015"/>
        </w:numPr>
      </w:pPr>
      <w:r>
        <w:t xml:space="preserve">Interest rates.</w:t>
      </w:r>
    </w:p>
    <w:p>
      <w:pPr>
        <w:pStyle w:val="Compact"/>
        <w:numPr>
          <w:ilvl w:val="0"/>
          <w:numId w:val="1015"/>
        </w:numPr>
      </w:pPr>
      <w:r>
        <w:t xml:space="preserve">Financial stability.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united-kingdom"/>
    <w:p>
      <w:pPr>
        <w:pStyle w:val="Heading1"/>
      </w:pPr>
      <w:r>
        <w:t xml:space="preserve">United Kingdom</w:t>
      </w:r>
    </w:p>
    <w:bookmarkStart w:id="55" w:name="fca"/>
    <w:p>
      <w:pPr>
        <w:pStyle w:val="Heading2"/>
      </w:pPr>
      <w:r>
        <w:t xml:space="preserve">FCA</w:t>
      </w:r>
    </w:p>
    <w:p>
      <w:pPr>
        <w:pStyle w:val="FirstParagraph"/>
      </w:pPr>
      <w:r>
        <w:t xml:space="preserve">https://www.fca.org.uk</w:t>
      </w:r>
    </w:p>
    <w:p>
      <w:r>
        <w:pict>
          <v:rect style="width:0;height:1.5pt" o:hralign="center" o:hrstd="t" o:hr="t"/>
        </w:pict>
      </w:r>
    </w:p>
    <w:bookmarkEnd w:id="55"/>
    <w:bookmarkStart w:id="56" w:name="bank-of-england"/>
    <w:p>
      <w:pPr>
        <w:pStyle w:val="Heading2"/>
      </w:pPr>
      <w:r>
        <w:t xml:space="preserve">Bank of England</w:t>
      </w:r>
    </w:p>
    <w:p>
      <w:pPr>
        <w:pStyle w:val="FirstParagraph"/>
      </w:pPr>
      <w:r>
        <w:t xml:space="preserve">https://www.bankofengland.co.uk</w:t>
      </w:r>
    </w:p>
    <w:p>
      <w:r>
        <w:pict>
          <v:rect style="width:0;height:1.5pt" o:hralign="center" o:hrstd="t" o:hr="t"/>
        </w:pict>
      </w:r>
    </w:p>
    <w:bookmarkEnd w:id="56"/>
    <w:bookmarkStart w:id="57" w:name="uk-government"/>
    <w:p>
      <w:pPr>
        <w:pStyle w:val="Heading2"/>
      </w:pPr>
      <w:r>
        <w:t xml:space="preserve">UK Government</w:t>
      </w:r>
    </w:p>
    <w:p>
      <w:pPr>
        <w:pStyle w:val="FirstParagraph"/>
      </w:pPr>
      <w:r>
        <w:t xml:space="preserve">https://www.gov.uk</w:t>
      </w:r>
    </w:p>
    <w:p>
      <w:pPr>
        <w:pStyle w:val="BodyText"/>
      </w:pPr>
      <w:r>
        <w:t xml:space="preserve">Many departments offer alerts.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singapore"/>
    <w:p>
      <w:pPr>
        <w:pStyle w:val="Heading1"/>
      </w:pPr>
      <w:r>
        <w:t xml:space="preserve">Singapore</w:t>
      </w:r>
    </w:p>
    <w:bookmarkStart w:id="59" w:name="mas"/>
    <w:p>
      <w:pPr>
        <w:pStyle w:val="Heading2"/>
      </w:pPr>
      <w:r>
        <w:t xml:space="preserve">MAS</w:t>
      </w:r>
    </w:p>
    <w:p>
      <w:pPr>
        <w:pStyle w:val="FirstParagraph"/>
      </w:pPr>
      <w:r>
        <w:t xml:space="preserve">https://www.mas.gov.sg</w:t>
      </w:r>
    </w:p>
    <w:p>
      <w:pPr>
        <w:pStyle w:val="BodyText"/>
      </w:pPr>
      <w:r>
        <w:t xml:space="preserve">Very important for:</w:t>
      </w:r>
    </w:p>
    <w:p>
      <w:pPr>
        <w:pStyle w:val="Compact"/>
        <w:numPr>
          <w:ilvl w:val="0"/>
          <w:numId w:val="1016"/>
        </w:numPr>
      </w:pPr>
      <w:r>
        <w:t xml:space="preserve">Banks.</w:t>
      </w:r>
    </w:p>
    <w:p>
      <w:pPr>
        <w:pStyle w:val="Compact"/>
        <w:numPr>
          <w:ilvl w:val="0"/>
          <w:numId w:val="1016"/>
        </w:numPr>
      </w:pPr>
      <w:r>
        <w:t xml:space="preserve">Commodity traders.</w:t>
      </w:r>
    </w:p>
    <w:p>
      <w:pPr>
        <w:pStyle w:val="FirstParagraph"/>
      </w:pPr>
      <w:r>
        <w:t xml:space="preserve">Email alerts available.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2" w:name="canada"/>
    <w:p>
      <w:pPr>
        <w:pStyle w:val="Heading1"/>
      </w:pPr>
      <w:r>
        <w:t xml:space="preserve">Canada</w:t>
      </w:r>
    </w:p>
    <w:bookmarkStart w:id="61" w:name="osfi"/>
    <w:p>
      <w:pPr>
        <w:pStyle w:val="Heading2"/>
      </w:pPr>
      <w:r>
        <w:t xml:space="preserve">OSFI</w:t>
      </w:r>
    </w:p>
    <w:p>
      <w:pPr>
        <w:pStyle w:val="FirstParagraph"/>
      </w:pPr>
      <w:r>
        <w:t xml:space="preserve">https://www.osfi-bsif.gc.ca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europe"/>
    <w:p>
      <w:pPr>
        <w:pStyle w:val="Heading1"/>
      </w:pPr>
      <w:r>
        <w:t xml:space="preserve">Europe</w:t>
      </w:r>
    </w:p>
    <w:bookmarkStart w:id="63" w:name="ecb"/>
    <w:p>
      <w:pPr>
        <w:pStyle w:val="Heading2"/>
      </w:pPr>
      <w:r>
        <w:t xml:space="preserve">ECB</w:t>
      </w:r>
    </w:p>
    <w:p>
      <w:pPr>
        <w:pStyle w:val="FirstParagraph"/>
      </w:pPr>
      <w:r>
        <w:t xml:space="preserve">https://www.ecb.europa.eu</w:t>
      </w:r>
    </w:p>
    <w:p>
      <w:r>
        <w:pict>
          <v:rect style="width:0;height:1.5pt" o:hralign="center" o:hrstd="t" o:hr="t"/>
        </w:pict>
      </w:r>
    </w:p>
    <w:bookmarkEnd w:id="63"/>
    <w:bookmarkStart w:id="64" w:name="esma"/>
    <w:p>
      <w:pPr>
        <w:pStyle w:val="Heading2"/>
      </w:pPr>
      <w:r>
        <w:t xml:space="preserve">ESMA</w:t>
      </w:r>
    </w:p>
    <w:p>
      <w:pPr>
        <w:pStyle w:val="FirstParagraph"/>
      </w:pPr>
      <w:r>
        <w:t xml:space="preserve">https://www.esma.europa.eu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rating-agencies-1"/>
    <w:p>
      <w:pPr>
        <w:pStyle w:val="Heading1"/>
      </w:pPr>
      <w:r>
        <w:t xml:space="preserve">Rating Agencies</w:t>
      </w:r>
    </w:p>
    <w:p>
      <w:pPr>
        <w:pStyle w:val="FirstParagraph"/>
      </w:pPr>
      <w:r>
        <w:t xml:space="preserve">One of the highest-value information sources.</w:t>
      </w:r>
    </w:p>
    <w:p>
      <w:r>
        <w:pict>
          <v:rect style="width:0;height:1.5pt" o:hralign="center" o:hrstd="t" o:hr="t"/>
        </w:pict>
      </w:r>
    </w:p>
    <w:bookmarkStart w:id="66" w:name="moodys"/>
    <w:p>
      <w:pPr>
        <w:pStyle w:val="Heading2"/>
      </w:pPr>
      <w:r>
        <w:t xml:space="preserve">Moody’s</w:t>
      </w:r>
    </w:p>
    <w:p>
      <w:pPr>
        <w:pStyle w:val="FirstParagraph"/>
      </w:pPr>
      <w:r>
        <w:t xml:space="preserve">https://www.moodys.com</w:t>
      </w:r>
    </w:p>
    <w:p>
      <w:pPr>
        <w:pStyle w:val="BodyText"/>
      </w:pPr>
      <w:r>
        <w:t xml:space="preserve">Monitor:</w:t>
      </w:r>
    </w:p>
    <w:p>
      <w:pPr>
        <w:pStyle w:val="Compact"/>
        <w:numPr>
          <w:ilvl w:val="0"/>
          <w:numId w:val="1017"/>
        </w:numPr>
      </w:pPr>
      <w:r>
        <w:t xml:space="preserve">Ratings.</w:t>
      </w:r>
    </w:p>
    <w:p>
      <w:pPr>
        <w:pStyle w:val="Compact"/>
        <w:numPr>
          <w:ilvl w:val="0"/>
          <w:numId w:val="1017"/>
        </w:numPr>
      </w:pPr>
      <w:r>
        <w:t xml:space="preserve">Outlooks.</w:t>
      </w:r>
    </w:p>
    <w:p>
      <w:pPr>
        <w:pStyle w:val="Compact"/>
        <w:numPr>
          <w:ilvl w:val="0"/>
          <w:numId w:val="1017"/>
        </w:numPr>
      </w:pPr>
      <w:r>
        <w:t xml:space="preserve">Industry reports.</w:t>
      </w:r>
    </w:p>
    <w:p>
      <w:r>
        <w:pict>
          <v:rect style="width:0;height:1.5pt" o:hralign="center" o:hrstd="t" o:hr="t"/>
        </w:pict>
      </w:r>
    </w:p>
    <w:bookmarkEnd w:id="66"/>
    <w:bookmarkStart w:id="67" w:name="sp-global-ratings"/>
    <w:p>
      <w:pPr>
        <w:pStyle w:val="Heading2"/>
      </w:pPr>
      <w:r>
        <w:t xml:space="preserve">S&amp;P Global Ratings</w:t>
      </w:r>
    </w:p>
    <w:p>
      <w:pPr>
        <w:pStyle w:val="FirstParagraph"/>
      </w:pPr>
      <w:r>
        <w:t xml:space="preserve">https://www.spglobal.com/ratings</w:t>
      </w:r>
    </w:p>
    <w:p>
      <w:pPr>
        <w:pStyle w:val="BodyText"/>
      </w:pPr>
      <w:r>
        <w:t xml:space="preserve">Monitor:</w:t>
      </w:r>
    </w:p>
    <w:p>
      <w:pPr>
        <w:pStyle w:val="Compact"/>
        <w:numPr>
          <w:ilvl w:val="0"/>
          <w:numId w:val="1018"/>
        </w:numPr>
      </w:pPr>
      <w:r>
        <w:t xml:space="preserve">Downgrades.</w:t>
      </w:r>
    </w:p>
    <w:p>
      <w:pPr>
        <w:pStyle w:val="Compact"/>
        <w:numPr>
          <w:ilvl w:val="0"/>
          <w:numId w:val="1018"/>
        </w:numPr>
      </w:pPr>
      <w:r>
        <w:t xml:space="preserve">Upgrades.</w:t>
      </w:r>
    </w:p>
    <w:p>
      <w:pPr>
        <w:pStyle w:val="Compact"/>
        <w:numPr>
          <w:ilvl w:val="0"/>
          <w:numId w:val="1018"/>
        </w:numPr>
      </w:pPr>
      <w:r>
        <w:t xml:space="preserve">Research reports.</w:t>
      </w:r>
    </w:p>
    <w:p>
      <w:r>
        <w:pict>
          <v:rect style="width:0;height:1.5pt" o:hralign="center" o:hrstd="t" o:hr="t"/>
        </w:pict>
      </w:r>
    </w:p>
    <w:bookmarkEnd w:id="67"/>
    <w:bookmarkStart w:id="68" w:name="fitch"/>
    <w:p>
      <w:pPr>
        <w:pStyle w:val="Heading2"/>
      </w:pPr>
      <w:r>
        <w:t xml:space="preserve">Fitch</w:t>
      </w:r>
    </w:p>
    <w:p>
      <w:pPr>
        <w:pStyle w:val="FirstParagraph"/>
      </w:pPr>
      <w:r>
        <w:t xml:space="preserve">https://www.fitchratings.com</w:t>
      </w:r>
    </w:p>
    <w:p>
      <w:pPr>
        <w:pStyle w:val="BodyText"/>
      </w:pPr>
      <w:r>
        <w:t xml:space="preserve">Monitor:</w:t>
      </w:r>
    </w:p>
    <w:p>
      <w:pPr>
        <w:pStyle w:val="Compact"/>
        <w:numPr>
          <w:ilvl w:val="0"/>
          <w:numId w:val="1019"/>
        </w:numPr>
      </w:pPr>
      <w:r>
        <w:t xml:space="preserve">Rating actions.</w:t>
      </w:r>
    </w:p>
    <w:p>
      <w:pPr>
        <w:pStyle w:val="Compact"/>
        <w:numPr>
          <w:ilvl w:val="0"/>
          <w:numId w:val="1019"/>
        </w:numPr>
      </w:pPr>
      <w:r>
        <w:t xml:space="preserve">Sector reports.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debt-issuance-monitoring"/>
    <w:p>
      <w:pPr>
        <w:pStyle w:val="Heading1"/>
      </w:pPr>
      <w:r>
        <w:t xml:space="preserve">Debt Issuance Monitoring</w:t>
      </w:r>
    </w:p>
    <w:p>
      <w:pPr>
        <w:pStyle w:val="FirstParagraph"/>
      </w:pPr>
      <w:r>
        <w:t xml:space="preserve">Useful for refinancing analysis.</w:t>
      </w:r>
    </w:p>
    <w:p>
      <w:r>
        <w:pict>
          <v:rect style="width:0;height:1.5pt" o:hralign="center" o:hrstd="t" o:hr="t"/>
        </w:pict>
      </w:r>
    </w:p>
    <w:bookmarkStart w:id="70" w:name="ifr"/>
    <w:p>
      <w:pPr>
        <w:pStyle w:val="Heading2"/>
      </w:pPr>
      <w:r>
        <w:t xml:space="preserve">IFR</w:t>
      </w:r>
    </w:p>
    <w:p>
      <w:pPr>
        <w:pStyle w:val="FirstParagraph"/>
      </w:pPr>
      <w:r>
        <w:t xml:space="preserve">https://www.ifre.com</w:t>
      </w:r>
    </w:p>
    <w:p>
      <w:pPr>
        <w:pStyle w:val="BodyText"/>
      </w:pPr>
      <w:r>
        <w:t xml:space="preserve">Excellent source.</w:t>
      </w:r>
    </w:p>
    <w:p>
      <w:r>
        <w:pict>
          <v:rect style="width:0;height:1.5pt" o:hralign="center" o:hrstd="t" o:hr="t"/>
        </w:pict>
      </w:r>
    </w:p>
    <w:bookmarkEnd w:id="70"/>
    <w:bookmarkStart w:id="71" w:name="bloomberg"/>
    <w:p>
      <w:pPr>
        <w:pStyle w:val="Heading2"/>
      </w:pPr>
      <w:r>
        <w:t xml:space="preserve">Bloomberg</w:t>
      </w:r>
    </w:p>
    <w:p>
      <w:pPr>
        <w:pStyle w:val="FirstParagraph"/>
      </w:pPr>
      <w:r>
        <w:t xml:space="preserve">Functions:</w:t>
      </w:r>
    </w:p>
    <w:p>
      <w:pPr>
        <w:pStyle w:val="BodyText"/>
      </w:pPr>
      <w:r>
        <w:t xml:space="preserve">NIM</w:t>
      </w:r>
    </w:p>
    <w:p>
      <w:pPr>
        <w:pStyle w:val="BodyText"/>
      </w:pPr>
      <w:r>
        <w:t xml:space="preserve">SRCH</w:t>
      </w:r>
    </w:p>
    <w:p>
      <w:pPr>
        <w:pStyle w:val="BodyText"/>
      </w:pPr>
      <w:r>
        <w:t xml:space="preserve">DES</w:t>
      </w:r>
    </w:p>
    <w:p>
      <w:r>
        <w:pict>
          <v:rect style="width:0;height:1.5pt" o:hralign="center" o:hrstd="t" o:hr="t"/>
        </w:pict>
      </w:r>
    </w:p>
    <w:bookmarkEnd w:id="71"/>
    <w:bookmarkStart w:id="72" w:name="refinitiv"/>
    <w:p>
      <w:pPr>
        <w:pStyle w:val="Heading2"/>
      </w:pPr>
      <w:r>
        <w:t xml:space="preserve">Refinitiv</w:t>
      </w:r>
    </w:p>
    <w:p>
      <w:pPr>
        <w:pStyle w:val="FirstParagraph"/>
      </w:pPr>
      <w:r>
        <w:t xml:space="preserve">If available.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1" w:name="commodity-monitoring"/>
    <w:p>
      <w:pPr>
        <w:pStyle w:val="Heading1"/>
      </w:pPr>
      <w:r>
        <w:t xml:space="preserve">Commodity Monitoring</w:t>
      </w:r>
    </w:p>
    <w:bookmarkStart w:id="74" w:name="lme"/>
    <w:p>
      <w:pPr>
        <w:pStyle w:val="Heading2"/>
      </w:pPr>
      <w:r>
        <w:t xml:space="preserve">LME</w:t>
      </w:r>
    </w:p>
    <w:p>
      <w:pPr>
        <w:pStyle w:val="FirstParagraph"/>
      </w:pPr>
      <w:r>
        <w:t xml:space="preserve">https://www.lme.com</w:t>
      </w:r>
    </w:p>
    <w:p>
      <w:r>
        <w:pict>
          <v:rect style="width:0;height:1.5pt" o:hralign="center" o:hrstd="t" o:hr="t"/>
        </w:pict>
      </w:r>
    </w:p>
    <w:bookmarkEnd w:id="74"/>
    <w:bookmarkStart w:id="75" w:name="cme-group"/>
    <w:p>
      <w:pPr>
        <w:pStyle w:val="Heading2"/>
      </w:pPr>
      <w:r>
        <w:t xml:space="preserve">CME Group</w:t>
      </w:r>
    </w:p>
    <w:p>
      <w:pPr>
        <w:pStyle w:val="FirstParagraph"/>
      </w:pPr>
      <w:r>
        <w:t xml:space="preserve">https://www.cmegroup.com</w:t>
      </w:r>
    </w:p>
    <w:p>
      <w:r>
        <w:pict>
          <v:rect style="width:0;height:1.5pt" o:hralign="center" o:hrstd="t" o:hr="t"/>
        </w:pict>
      </w:r>
    </w:p>
    <w:bookmarkEnd w:id="75"/>
    <w:bookmarkStart w:id="76" w:name="ice"/>
    <w:p>
      <w:pPr>
        <w:pStyle w:val="Heading2"/>
      </w:pPr>
      <w:r>
        <w:t xml:space="preserve">ICE</w:t>
      </w:r>
    </w:p>
    <w:p>
      <w:pPr>
        <w:pStyle w:val="FirstParagraph"/>
      </w:pPr>
      <w:r>
        <w:t xml:space="preserve">https://www.ice.com</w:t>
      </w:r>
    </w:p>
    <w:p>
      <w:r>
        <w:pict>
          <v:rect style="width:0;height:1.5pt" o:hralign="center" o:hrstd="t" o:hr="t"/>
        </w:pict>
      </w:r>
    </w:p>
    <w:bookmarkEnd w:id="76"/>
    <w:bookmarkStart w:id="77" w:name="world-gold-council"/>
    <w:p>
      <w:pPr>
        <w:pStyle w:val="Heading2"/>
      </w:pPr>
      <w:r>
        <w:t xml:space="preserve">World Gold Council</w:t>
      </w:r>
    </w:p>
    <w:p>
      <w:pPr>
        <w:pStyle w:val="FirstParagraph"/>
      </w:pPr>
      <w:r>
        <w:t xml:space="preserve">https://www.gold.org</w:t>
      </w:r>
    </w:p>
    <w:p>
      <w:r>
        <w:pict>
          <v:rect style="width:0;height:1.5pt" o:hralign="center" o:hrstd="t" o:hr="t"/>
        </w:pict>
      </w:r>
    </w:p>
    <w:bookmarkEnd w:id="77"/>
    <w:bookmarkStart w:id="78" w:name="international-energy-agency"/>
    <w:p>
      <w:pPr>
        <w:pStyle w:val="Heading2"/>
      </w:pPr>
      <w:r>
        <w:t xml:space="preserve">International Energy Agency</w:t>
      </w:r>
    </w:p>
    <w:p>
      <w:pPr>
        <w:pStyle w:val="FirstParagraph"/>
      </w:pPr>
      <w:r>
        <w:t xml:space="preserve">https://www.iea.org</w:t>
      </w:r>
    </w:p>
    <w:p>
      <w:r>
        <w:pict>
          <v:rect style="width:0;height:1.5pt" o:hralign="center" o:hrstd="t" o:hr="t"/>
        </w:pict>
      </w:r>
    </w:p>
    <w:bookmarkEnd w:id="78"/>
    <w:bookmarkStart w:id="79" w:name="us-eia"/>
    <w:p>
      <w:pPr>
        <w:pStyle w:val="Heading2"/>
      </w:pPr>
      <w:r>
        <w:t xml:space="preserve">US EIA</w:t>
      </w:r>
    </w:p>
    <w:p>
      <w:pPr>
        <w:pStyle w:val="FirstParagraph"/>
      </w:pPr>
      <w:r>
        <w:t xml:space="preserve">https://www.eia.gov</w:t>
      </w:r>
    </w:p>
    <w:p>
      <w:r>
        <w:pict>
          <v:rect style="width:0;height:1.5pt" o:hralign="center" o:hrstd="t" o:hr="t"/>
        </w:pict>
      </w:r>
    </w:p>
    <w:bookmarkEnd w:id="79"/>
    <w:bookmarkStart w:id="80" w:name="opec"/>
    <w:p>
      <w:pPr>
        <w:pStyle w:val="Heading2"/>
      </w:pPr>
      <w:r>
        <w:t xml:space="preserve">OPEC</w:t>
      </w:r>
    </w:p>
    <w:p>
      <w:pPr>
        <w:pStyle w:val="FirstParagraph"/>
      </w:pPr>
      <w:r>
        <w:t xml:space="preserve">https://www.opec.org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90" w:name="industry-news"/>
    <w:p>
      <w:pPr>
        <w:pStyle w:val="Heading1"/>
      </w:pPr>
      <w:r>
        <w:t xml:space="preserve">Industry News</w:t>
      </w:r>
    </w:p>
    <w:bookmarkStart w:id="82" w:name="reuters"/>
    <w:p>
      <w:pPr>
        <w:pStyle w:val="Heading2"/>
      </w:pPr>
      <w:r>
        <w:t xml:space="preserve">Reuters</w:t>
      </w:r>
    </w:p>
    <w:p>
      <w:pPr>
        <w:pStyle w:val="FirstParagraph"/>
      </w:pPr>
      <w:r>
        <w:t xml:space="preserve">https://www.reuters.com</w:t>
      </w:r>
    </w:p>
    <w:p>
      <w:pPr>
        <w:pStyle w:val="BodyText"/>
      </w:pPr>
      <w:r>
        <w:t xml:space="preserve">★★★★★</w:t>
      </w:r>
    </w:p>
    <w:p>
      <w:pPr>
        <w:pStyle w:val="BodyText"/>
      </w:pPr>
      <w:r>
        <w:t xml:space="preserve">Probably the best free general news source.</w:t>
      </w:r>
    </w:p>
    <w:p>
      <w:r>
        <w:pict>
          <v:rect style="width:0;height:1.5pt" o:hralign="center" o:hrstd="t" o:hr="t"/>
        </w:pict>
      </w:r>
    </w:p>
    <w:bookmarkEnd w:id="82"/>
    <w:bookmarkStart w:id="83" w:name="financial-times"/>
    <w:p>
      <w:pPr>
        <w:pStyle w:val="Heading2"/>
      </w:pPr>
      <w:r>
        <w:t xml:space="preserve">Financial Times</w:t>
      </w:r>
    </w:p>
    <w:p>
      <w:pPr>
        <w:pStyle w:val="FirstParagraph"/>
      </w:pPr>
      <w:r>
        <w:t xml:space="preserve">https://www.ft.com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83"/>
    <w:bookmarkStart w:id="84" w:name="wall-street-journal"/>
    <w:p>
      <w:pPr>
        <w:pStyle w:val="Heading2"/>
      </w:pPr>
      <w:r>
        <w:t xml:space="preserve">Wall Street Journal</w:t>
      </w:r>
    </w:p>
    <w:p>
      <w:pPr>
        <w:pStyle w:val="FirstParagraph"/>
      </w:pPr>
      <w:r>
        <w:t xml:space="preserve">https://www.wsj.com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84"/>
    <w:bookmarkStart w:id="85" w:name="afr"/>
    <w:p>
      <w:pPr>
        <w:pStyle w:val="Heading2"/>
      </w:pPr>
      <w:r>
        <w:t xml:space="preserve">AFR</w:t>
      </w:r>
    </w:p>
    <w:p>
      <w:pPr>
        <w:pStyle w:val="FirstParagraph"/>
      </w:pPr>
      <w:r>
        <w:t xml:space="preserve">https://www.afr.com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85"/>
    <w:bookmarkStart w:id="86" w:name="mining.com"/>
    <w:p>
      <w:pPr>
        <w:pStyle w:val="Heading2"/>
      </w:pPr>
      <w:r>
        <w:t xml:space="preserve">Mining.com</w:t>
      </w:r>
    </w:p>
    <w:p>
      <w:pPr>
        <w:pStyle w:val="FirstParagraph"/>
      </w:pPr>
      <w:r>
        <w:t xml:space="preserve">https://www.mining.com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86"/>
    <w:bookmarkStart w:id="87" w:name="fastmarkets"/>
    <w:p>
      <w:pPr>
        <w:pStyle w:val="Heading2"/>
      </w:pPr>
      <w:r>
        <w:t xml:space="preserve">Fastmarkets</w:t>
      </w:r>
    </w:p>
    <w:p>
      <w:pPr>
        <w:pStyle w:val="FirstParagraph"/>
      </w:pPr>
      <w:r>
        <w:t xml:space="preserve">https://www.fastmarkets.com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87"/>
    <w:bookmarkStart w:id="88" w:name="argus"/>
    <w:p>
      <w:pPr>
        <w:pStyle w:val="Heading2"/>
      </w:pPr>
      <w:r>
        <w:t xml:space="preserve">Argus</w:t>
      </w:r>
    </w:p>
    <w:p>
      <w:pPr>
        <w:pStyle w:val="FirstParagraph"/>
      </w:pPr>
      <w:r>
        <w:t xml:space="preserve">https://www.argusmedia.com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88"/>
    <w:bookmarkStart w:id="89" w:name="sp-commodity-insights"/>
    <w:p>
      <w:pPr>
        <w:pStyle w:val="Heading2"/>
      </w:pPr>
      <w:r>
        <w:t xml:space="preserve">S&amp;P Commodity Insights</w:t>
      </w:r>
    </w:p>
    <w:p>
      <w:pPr>
        <w:pStyle w:val="FirstParagraph"/>
      </w:pPr>
      <w:r>
        <w:t xml:space="preserve">https://www.spglobal.com/commodityinsights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3" w:name="rss-feeds"/>
    <w:p>
      <w:pPr>
        <w:pStyle w:val="Heading1"/>
      </w:pPr>
      <w:r>
        <w:t xml:space="preserve">RSS Feeds</w:t>
      </w:r>
    </w:p>
    <w:p>
      <w:pPr>
        <w:pStyle w:val="FirstParagraph"/>
      </w:pPr>
      <w:r>
        <w:t xml:space="preserve">Often overlooked.</w:t>
      </w:r>
    </w:p>
    <w:p>
      <w:pPr>
        <w:pStyle w:val="BodyText"/>
      </w:pPr>
      <w:r>
        <w:t xml:space="preserve">Useful for:</w:t>
      </w:r>
    </w:p>
    <w:p>
      <w:pPr>
        <w:pStyle w:val="Compact"/>
        <w:numPr>
          <w:ilvl w:val="0"/>
          <w:numId w:val="1020"/>
        </w:numPr>
      </w:pPr>
      <w:r>
        <w:t xml:space="preserve">Company announcements.</w:t>
      </w:r>
    </w:p>
    <w:p>
      <w:pPr>
        <w:pStyle w:val="Compact"/>
        <w:numPr>
          <w:ilvl w:val="0"/>
          <w:numId w:val="1020"/>
        </w:numPr>
      </w:pPr>
      <w:r>
        <w:t xml:space="preserve">Regulatory updates.</w:t>
      </w:r>
    </w:p>
    <w:p>
      <w:pPr>
        <w:pStyle w:val="Compact"/>
        <w:numPr>
          <w:ilvl w:val="0"/>
          <w:numId w:val="1020"/>
        </w:numPr>
      </w:pPr>
      <w:r>
        <w:t xml:space="preserve">Government releases.</w:t>
      </w:r>
    </w:p>
    <w:p>
      <w:pPr>
        <w:pStyle w:val="FirstParagraph"/>
      </w:pPr>
      <w:r>
        <w:t xml:space="preserve">RSS readers:</w:t>
      </w:r>
    </w:p>
    <w:bookmarkStart w:id="91" w:name="feedly"/>
    <w:p>
      <w:pPr>
        <w:pStyle w:val="Heading2"/>
      </w:pPr>
      <w:r>
        <w:t xml:space="preserve">Feedly</w:t>
      </w:r>
    </w:p>
    <w:p>
      <w:pPr>
        <w:pStyle w:val="FirstParagraph"/>
      </w:pPr>
      <w:r>
        <w:t xml:space="preserve">https://feedly.com</w:t>
      </w:r>
    </w:p>
    <w:p>
      <w:pPr>
        <w:pStyle w:val="BodyText"/>
      </w:pPr>
      <w:r>
        <w:t xml:space="preserve">★★★★★</w:t>
      </w:r>
    </w:p>
    <w:p>
      <w:pPr>
        <w:pStyle w:val="BodyText"/>
      </w:pPr>
      <w:r>
        <w:t xml:space="preserve">Highly recommended.</w:t>
      </w:r>
    </w:p>
    <w:p>
      <w:r>
        <w:pict>
          <v:rect style="width:0;height:1.5pt" o:hralign="center" o:hrstd="t" o:hr="t"/>
        </w:pict>
      </w:r>
    </w:p>
    <w:bookmarkEnd w:id="91"/>
    <w:bookmarkStart w:id="92" w:name="inoreader"/>
    <w:p>
      <w:pPr>
        <w:pStyle w:val="Heading2"/>
      </w:pPr>
      <w:r>
        <w:t xml:space="preserve">Inoreader</w:t>
      </w:r>
    </w:p>
    <w:p>
      <w:pPr>
        <w:pStyle w:val="FirstParagraph"/>
      </w:pPr>
      <w:r>
        <w:t xml:space="preserve">https://www.inoreader.com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4" w:name="google-alerts"/>
    <w:p>
      <w:pPr>
        <w:pStyle w:val="Heading1"/>
      </w:pPr>
      <w:r>
        <w:t xml:space="preserve">Google Alerts</w:t>
      </w:r>
    </w:p>
    <w:p>
      <w:pPr>
        <w:pStyle w:val="FirstParagraph"/>
      </w:pPr>
      <w:r>
        <w:t xml:space="preserve">https://www.google.com/alerts</w:t>
      </w:r>
    </w:p>
    <w:p>
      <w:pPr>
        <w:pStyle w:val="BodyText"/>
      </w:pPr>
      <w:r>
        <w:t xml:space="preserve">Simple and free.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“BHP”</w:t>
      </w:r>
    </w:p>
    <w:p>
      <w:pPr>
        <w:pStyle w:val="BodyText"/>
      </w:pPr>
      <w:r>
        <w:t xml:space="preserve">“Rio Tinto”</w:t>
      </w:r>
    </w:p>
    <w:p>
      <w:pPr>
        <w:pStyle w:val="BodyText"/>
      </w:pPr>
      <w:r>
        <w:t xml:space="preserve">“Copper market”</w:t>
      </w:r>
    </w:p>
    <w:p>
      <w:pPr>
        <w:pStyle w:val="BodyText"/>
      </w:pPr>
      <w:r>
        <w:t xml:space="preserve">“Macquarie Bank”</w:t>
      </w:r>
    </w:p>
    <w:p>
      <w:pPr>
        <w:pStyle w:val="BodyText"/>
      </w:pPr>
      <w:r>
        <w:t xml:space="preserve">“Permitted indebtedness”</w:t>
      </w:r>
    </w:p>
    <w:p>
      <w:pPr>
        <w:pStyle w:val="BodyText"/>
      </w:pPr>
      <w:r>
        <w:t xml:space="preserve">Useful for:</w:t>
      </w:r>
    </w:p>
    <w:p>
      <w:pPr>
        <w:pStyle w:val="Compact"/>
        <w:numPr>
          <w:ilvl w:val="0"/>
          <w:numId w:val="1021"/>
        </w:numPr>
      </w:pPr>
      <w:r>
        <w:t xml:space="preserve">News.</w:t>
      </w:r>
    </w:p>
    <w:p>
      <w:pPr>
        <w:pStyle w:val="Compact"/>
        <w:numPr>
          <w:ilvl w:val="0"/>
          <w:numId w:val="1021"/>
        </w:numPr>
      </w:pPr>
      <w:r>
        <w:t xml:space="preserve">Litigation.</w:t>
      </w:r>
    </w:p>
    <w:p>
      <w:pPr>
        <w:pStyle w:val="Compact"/>
        <w:numPr>
          <w:ilvl w:val="0"/>
          <w:numId w:val="1021"/>
        </w:numPr>
      </w:pPr>
      <w:r>
        <w:t xml:space="preserve">M&amp;A.</w:t>
      </w:r>
    </w:p>
    <w:p>
      <w:r>
        <w:pict>
          <v:rect style="width:0;height:1.5pt" o:hralign="center" o:hrstd="t" o:hr="t"/>
        </w:pict>
      </w:r>
    </w:p>
    <w:bookmarkEnd w:id="94"/>
    <w:bookmarkStart w:id="101" w:name="company-websites"/>
    <w:p>
      <w:pPr>
        <w:pStyle w:val="Heading1"/>
      </w:pPr>
      <w:r>
        <w:t xml:space="preserve">Company Websites</w:t>
      </w:r>
    </w:p>
    <w:p>
      <w:pPr>
        <w:pStyle w:val="FirstParagraph"/>
      </w:pPr>
      <w:r>
        <w:t xml:space="preserve">For listed and unlisted companies.</w:t>
      </w:r>
    </w:p>
    <w:p>
      <w:pPr>
        <w:pStyle w:val="BodyText"/>
      </w:pPr>
      <w:r>
        <w:t xml:space="preserve">Useful sections:</w:t>
      </w:r>
    </w:p>
    <w:bookmarkStart w:id="95" w:name="investor-relations"/>
    <w:p>
      <w:pPr>
        <w:pStyle w:val="Heading3"/>
      </w:pPr>
      <w:r>
        <w:t xml:space="preserve">Investor Relations</w:t>
      </w:r>
    </w:p>
    <w:bookmarkEnd w:id="95"/>
    <w:bookmarkStart w:id="96" w:name="news-1"/>
    <w:p>
      <w:pPr>
        <w:pStyle w:val="Heading3"/>
      </w:pPr>
      <w:r>
        <w:t xml:space="preserve">News</w:t>
      </w:r>
    </w:p>
    <w:bookmarkEnd w:id="96"/>
    <w:bookmarkStart w:id="97" w:name="media-releases"/>
    <w:p>
      <w:pPr>
        <w:pStyle w:val="Heading3"/>
      </w:pPr>
      <w:r>
        <w:t xml:space="preserve">Media Releases</w:t>
      </w:r>
    </w:p>
    <w:bookmarkEnd w:id="97"/>
    <w:bookmarkStart w:id="98" w:name="presentations"/>
    <w:p>
      <w:pPr>
        <w:pStyle w:val="Heading3"/>
      </w:pPr>
      <w:r>
        <w:t xml:space="preserve">Presentations</w:t>
      </w:r>
    </w:p>
    <w:bookmarkEnd w:id="98"/>
    <w:bookmarkStart w:id="99" w:name="sustainability-reports"/>
    <w:p>
      <w:pPr>
        <w:pStyle w:val="Heading3"/>
      </w:pPr>
      <w:r>
        <w:t xml:space="preserve">Sustainability Reports</w:t>
      </w:r>
    </w:p>
    <w:bookmarkEnd w:id="99"/>
    <w:bookmarkStart w:id="100" w:name="debt-investors"/>
    <w:p>
      <w:pPr>
        <w:pStyle w:val="Heading3"/>
      </w:pPr>
      <w:r>
        <w:t xml:space="preserve">Debt Investors</w:t>
      </w:r>
    </w:p>
    <w:p>
      <w:pPr>
        <w:pStyle w:val="FirstParagraph"/>
      </w:pPr>
      <w:r>
        <w:t xml:space="preserve">Many companies provide email alerts.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9" w:name="unlisted-companies"/>
    <w:p>
      <w:pPr>
        <w:pStyle w:val="Heading1"/>
      </w:pPr>
      <w:r>
        <w:t xml:space="preserve">Unlisted Companies</w:t>
      </w:r>
    </w:p>
    <w:p>
      <w:pPr>
        <w:pStyle w:val="FirstParagraph"/>
      </w:pPr>
      <w:r>
        <w:t xml:space="preserve">Monitoring is harder.</w:t>
      </w:r>
    </w:p>
    <w:p>
      <w:pPr>
        <w:pStyle w:val="BodyText"/>
      </w:pPr>
      <w:r>
        <w:t xml:space="preserve">Useful sources:</w:t>
      </w:r>
    </w:p>
    <w:p>
      <w:r>
        <w:pict>
          <v:rect style="width:0;height:1.5pt" o:hralign="center" o:hrstd="t" o:hr="t"/>
        </w:pict>
      </w:r>
    </w:p>
    <w:bookmarkStart w:id="102" w:name="company-website"/>
    <w:p>
      <w:pPr>
        <w:pStyle w:val="Heading2"/>
      </w:pPr>
      <w:r>
        <w:t xml:space="preserve">Company Website</w:t>
      </w:r>
    </w:p>
    <w:p>
      <w:pPr>
        <w:pStyle w:val="FirstParagraph"/>
      </w:pPr>
      <w:r>
        <w:t xml:space="preserve">Usually the best source.</w:t>
      </w:r>
    </w:p>
    <w:p>
      <w:r>
        <w:pict>
          <v:rect style="width:0;height:1.5pt" o:hralign="center" o:hrstd="t" o:hr="t"/>
        </w:pict>
      </w:r>
    </w:p>
    <w:bookmarkEnd w:id="102"/>
    <w:bookmarkStart w:id="103" w:name="linkedin"/>
    <w:p>
      <w:pPr>
        <w:pStyle w:val="Heading2"/>
      </w:pPr>
      <w:r>
        <w:t xml:space="preserve">LinkedIn</w:t>
      </w:r>
    </w:p>
    <w:p>
      <w:pPr>
        <w:pStyle w:val="FirstParagraph"/>
      </w:pPr>
      <w:r>
        <w:t xml:space="preserve">Executive changes.</w:t>
      </w:r>
    </w:p>
    <w:p>
      <w:pPr>
        <w:pStyle w:val="BodyText"/>
      </w:pPr>
      <w:r>
        <w:t xml:space="preserve">Operational updates.</w:t>
      </w:r>
    </w:p>
    <w:p>
      <w:r>
        <w:pict>
          <v:rect style="width:0;height:1.5pt" o:hralign="center" o:hrstd="t" o:hr="t"/>
        </w:pict>
      </w:r>
    </w:p>
    <w:bookmarkEnd w:id="103"/>
    <w:bookmarkStart w:id="104" w:name="industry-associations"/>
    <w:p>
      <w:pPr>
        <w:pStyle w:val="Heading2"/>
      </w:pPr>
      <w:r>
        <w:t xml:space="preserve">Industry Associations</w: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Australian Mining and Exploration Companies.</w:t>
      </w:r>
    </w:p>
    <w:p>
      <w:pPr>
        <w:pStyle w:val="BodyText"/>
      </w:pPr>
      <w:r>
        <w:t xml:space="preserve">International Council on Mining and Metals.</w:t>
      </w:r>
    </w:p>
    <w:p>
      <w:r>
        <w:pict>
          <v:rect style="width:0;height:1.5pt" o:hralign="center" o:hrstd="t" o:hr="t"/>
        </w:pict>
      </w:r>
    </w:p>
    <w:bookmarkEnd w:id="104"/>
    <w:bookmarkStart w:id="105" w:name="local-media"/>
    <w:p>
      <w:pPr>
        <w:pStyle w:val="Heading2"/>
      </w:pPr>
      <w:r>
        <w:t xml:space="preserve">Local Media</w:t>
      </w:r>
    </w:p>
    <w:p>
      <w:pPr>
        <w:pStyle w:val="FirstParagraph"/>
      </w:pPr>
      <w:r>
        <w:t xml:space="preserve">Useful for:</w:t>
      </w:r>
    </w:p>
    <w:p>
      <w:pPr>
        <w:pStyle w:val="Compact"/>
        <w:numPr>
          <w:ilvl w:val="0"/>
          <w:numId w:val="1022"/>
        </w:numPr>
      </w:pPr>
      <w:r>
        <w:t xml:space="preserve">Project developments.</w:t>
      </w:r>
    </w:p>
    <w:p>
      <w:pPr>
        <w:pStyle w:val="Compact"/>
        <w:numPr>
          <w:ilvl w:val="0"/>
          <w:numId w:val="1022"/>
        </w:numPr>
      </w:pPr>
      <w:r>
        <w:t xml:space="preserve">Operational disruptions.</w:t>
      </w:r>
    </w:p>
    <w:p>
      <w:r>
        <w:pict>
          <v:rect style="width:0;height:1.5pt" o:hralign="center" o:hrstd="t" o:hr="t"/>
        </w:pict>
      </w:r>
    </w:p>
    <w:bookmarkEnd w:id="105"/>
    <w:bookmarkStart w:id="106" w:name="rating-agencies-2"/>
    <w:p>
      <w:pPr>
        <w:pStyle w:val="Heading2"/>
      </w:pPr>
      <w:r>
        <w:t xml:space="preserve">Rating Agencies</w:t>
      </w:r>
    </w:p>
    <w:p>
      <w:pPr>
        <w:pStyle w:val="FirstParagraph"/>
      </w:pPr>
      <w:r>
        <w:t xml:space="preserve">Important source.</w:t>
      </w:r>
    </w:p>
    <w:p>
      <w:r>
        <w:pict>
          <v:rect style="width:0;height:1.5pt" o:hralign="center" o:hrstd="t" o:hr="t"/>
        </w:pict>
      </w:r>
    </w:p>
    <w:bookmarkEnd w:id="106"/>
    <w:bookmarkStart w:id="107" w:name="lender-presentations"/>
    <w:p>
      <w:pPr>
        <w:pStyle w:val="Heading2"/>
      </w:pPr>
      <w:r>
        <w:t xml:space="preserve">Lender Presentations</w:t>
      </w:r>
    </w:p>
    <w:p>
      <w:pPr>
        <w:pStyle w:val="FirstParagraph"/>
      </w:pPr>
      <w:r>
        <w:t xml:space="preserve">Where available.</w:t>
      </w:r>
    </w:p>
    <w:p>
      <w:r>
        <w:pict>
          <v:rect style="width:0;height:1.5pt" o:hralign="center" o:hrstd="t" o:hr="t"/>
        </w:pict>
      </w:r>
    </w:p>
    <w:bookmarkEnd w:id="107"/>
    <w:bookmarkStart w:id="108" w:name="trade-publications"/>
    <w:p>
      <w:pPr>
        <w:pStyle w:val="Heading2"/>
      </w:pPr>
      <w:r>
        <w:t xml:space="preserve">Trade Publications</w:t>
      </w:r>
    </w:p>
    <w:p>
      <w:pPr>
        <w:pStyle w:val="FirstParagraph"/>
      </w:pPr>
      <w:r>
        <w:t xml:space="preserve">Often provide better coverage than mainstream media.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9" w:name="government-and-industry-bodies"/>
    <w:p>
      <w:pPr>
        <w:pStyle w:val="Heading1"/>
      </w:pPr>
      <w:r>
        <w:t xml:space="preserve">Government and Industry Bodies</w:t>
      </w:r>
    </w:p>
    <w:p>
      <w:pPr>
        <w:pStyle w:val="FirstParagraph"/>
      </w:pPr>
      <w:r>
        <w:t xml:space="preserve">Examples:</w:t>
      </w:r>
    </w:p>
    <w:bookmarkStart w:id="110" w:name="icmm"/>
    <w:p>
      <w:pPr>
        <w:pStyle w:val="Heading2"/>
      </w:pPr>
      <w:r>
        <w:t xml:space="preserve">ICMM</w:t>
      </w:r>
    </w:p>
    <w:p>
      <w:pPr>
        <w:pStyle w:val="FirstParagraph"/>
      </w:pPr>
      <w:r>
        <w:t xml:space="preserve">https://www.icmm.com</w:t>
      </w:r>
    </w:p>
    <w:p>
      <w:r>
        <w:pict>
          <v:rect style="width:0;height:1.5pt" o:hralign="center" o:hrstd="t" o:hr="t"/>
        </w:pict>
      </w:r>
    </w:p>
    <w:bookmarkEnd w:id="110"/>
    <w:bookmarkStart w:id="111" w:name="world-steel-association"/>
    <w:p>
      <w:pPr>
        <w:pStyle w:val="Heading2"/>
      </w:pPr>
      <w:r>
        <w:t xml:space="preserve">World Steel Association</w:t>
      </w:r>
    </w:p>
    <w:p>
      <w:pPr>
        <w:pStyle w:val="FirstParagraph"/>
      </w:pPr>
      <w:r>
        <w:t xml:space="preserve">https://worldsteel.org</w:t>
      </w:r>
    </w:p>
    <w:p>
      <w:r>
        <w:pict>
          <v:rect style="width:0;height:1.5pt" o:hralign="center" o:hrstd="t" o:hr="t"/>
        </w:pict>
      </w:r>
    </w:p>
    <w:bookmarkEnd w:id="111"/>
    <w:bookmarkStart w:id="112" w:name="international-copper-study-group"/>
    <w:p>
      <w:pPr>
        <w:pStyle w:val="Heading2"/>
      </w:pPr>
      <w:r>
        <w:t xml:space="preserve">International Copper Study Group</w:t>
      </w:r>
    </w:p>
    <w:p>
      <w:pPr>
        <w:pStyle w:val="FirstParagraph"/>
      </w:pPr>
      <w:r>
        <w:t xml:space="preserve">https://icsg.org</w:t>
      </w:r>
    </w:p>
    <w:p>
      <w:r>
        <w:pict>
          <v:rect style="width:0;height:1.5pt" o:hralign="center" o:hrstd="t" o:hr="t"/>
        </w:pict>
      </w:r>
    </w:p>
    <w:bookmarkEnd w:id="112"/>
    <w:bookmarkStart w:id="113" w:name="international-nickel-study-group"/>
    <w:p>
      <w:pPr>
        <w:pStyle w:val="Heading2"/>
      </w:pPr>
      <w:r>
        <w:t xml:space="preserve">International Nickel Study Group</w:t>
      </w:r>
    </w:p>
    <w:p>
      <w:pPr>
        <w:pStyle w:val="FirstParagraph"/>
      </w:pPr>
      <w:r>
        <w:t xml:space="preserve">https://insg.org</w:t>
      </w:r>
    </w:p>
    <w:p>
      <w:r>
        <w:pict>
          <v:rect style="width:0;height:1.5pt" o:hralign="center" o:hrstd="t" o:hr="t"/>
        </w:pict>
      </w:r>
    </w:p>
    <w:bookmarkEnd w:id="113"/>
    <w:bookmarkStart w:id="114" w:name="international-energy-agency-1"/>
    <w:p>
      <w:pPr>
        <w:pStyle w:val="Heading2"/>
      </w:pPr>
      <w:r>
        <w:t xml:space="preserve">International Energy Agency</w:t>
      </w:r>
    </w:p>
    <w:p>
      <w:pPr>
        <w:pStyle w:val="FirstParagraph"/>
      </w:pPr>
      <w:r>
        <w:t xml:space="preserve">https://www.iea.org</w:t>
      </w:r>
    </w:p>
    <w:p>
      <w:r>
        <w:pict>
          <v:rect style="width:0;height:1.5pt" o:hralign="center" o:hrstd="t" o:hr="t"/>
        </w:pict>
      </w:r>
    </w:p>
    <w:bookmarkEnd w:id="114"/>
    <w:bookmarkStart w:id="115" w:name="opec-1"/>
    <w:p>
      <w:pPr>
        <w:pStyle w:val="Heading2"/>
      </w:pPr>
      <w:r>
        <w:t xml:space="preserve">OPEC</w:t>
      </w:r>
    </w:p>
    <w:p>
      <w:pPr>
        <w:pStyle w:val="FirstParagraph"/>
      </w:pPr>
      <w:r>
        <w:t xml:space="preserve">https://www.opec.org</w:t>
      </w:r>
    </w:p>
    <w:p>
      <w:r>
        <w:pict>
          <v:rect style="width:0;height:1.5pt" o:hralign="center" o:hrstd="t" o:hr="t"/>
        </w:pict>
      </w:r>
    </w:p>
    <w:bookmarkEnd w:id="115"/>
    <w:bookmarkStart w:id="116" w:name="oecd"/>
    <w:p>
      <w:pPr>
        <w:pStyle w:val="Heading2"/>
      </w:pPr>
      <w:r>
        <w:t xml:space="preserve">OECD</w:t>
      </w:r>
    </w:p>
    <w:p>
      <w:pPr>
        <w:pStyle w:val="FirstParagraph"/>
      </w:pPr>
      <w:r>
        <w:t xml:space="preserve">https://www.oecd.org</w:t>
      </w:r>
    </w:p>
    <w:p>
      <w:r>
        <w:pict>
          <v:rect style="width:0;height:1.5pt" o:hralign="center" o:hrstd="t" o:hr="t"/>
        </w:pict>
      </w:r>
    </w:p>
    <w:bookmarkEnd w:id="116"/>
    <w:bookmarkStart w:id="117" w:name="imf"/>
    <w:p>
      <w:pPr>
        <w:pStyle w:val="Heading2"/>
      </w:pPr>
      <w:r>
        <w:t xml:space="preserve">IMF</w:t>
      </w:r>
    </w:p>
    <w:p>
      <w:pPr>
        <w:pStyle w:val="FirstParagraph"/>
      </w:pPr>
      <w:r>
        <w:t xml:space="preserve">https://www.imf.org</w:t>
      </w:r>
    </w:p>
    <w:p>
      <w:r>
        <w:pict>
          <v:rect style="width:0;height:1.5pt" o:hralign="center" o:hrstd="t" o:hr="t"/>
        </w:pict>
      </w:r>
    </w:p>
    <w:bookmarkEnd w:id="117"/>
    <w:bookmarkStart w:id="118" w:name="world-bank"/>
    <w:p>
      <w:pPr>
        <w:pStyle w:val="Heading2"/>
      </w:pPr>
      <w:r>
        <w:t xml:space="preserve">World Bank</w:t>
      </w:r>
    </w:p>
    <w:p>
      <w:pPr>
        <w:pStyle w:val="FirstParagraph"/>
      </w:pPr>
      <w:r>
        <w:t xml:space="preserve">https://www.worldbank.org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5" w:name="outlook-rules"/>
    <w:p>
      <w:pPr>
        <w:pStyle w:val="Heading1"/>
      </w:pPr>
      <w:r>
        <w:t xml:space="preserve">Outlook Rules</w:t>
      </w:r>
    </w:p>
    <w:p>
      <w:pPr>
        <w:pStyle w:val="FirstParagraph"/>
      </w:pPr>
      <w:r>
        <w:t xml:space="preserve">Useful for:</w:t>
      </w:r>
    </w:p>
    <w:bookmarkStart w:id="120" w:name="bloomberg-news."/>
    <w:p>
      <w:pPr>
        <w:pStyle w:val="Heading3"/>
      </w:pPr>
      <w:r>
        <w:t xml:space="preserve">Bloomberg news.</w:t>
      </w:r>
    </w:p>
    <w:bookmarkEnd w:id="120"/>
    <w:bookmarkStart w:id="121" w:name="rating-actions."/>
    <w:p>
      <w:pPr>
        <w:pStyle w:val="Heading3"/>
      </w:pPr>
      <w:r>
        <w:t xml:space="preserve">Rating actions.</w:t>
      </w:r>
    </w:p>
    <w:bookmarkEnd w:id="121"/>
    <w:bookmarkStart w:id="122" w:name="company-announcements."/>
    <w:p>
      <w:pPr>
        <w:pStyle w:val="Heading3"/>
      </w:pPr>
      <w:r>
        <w:t xml:space="preserve">Company announcements.</w:t>
      </w:r>
    </w:p>
    <w:bookmarkEnd w:id="122"/>
    <w:bookmarkStart w:id="123" w:name="government-updates."/>
    <w:p>
      <w:pPr>
        <w:pStyle w:val="Heading3"/>
      </w:pPr>
      <w:r>
        <w:t xml:space="preserve">Government updates.</w:t>
      </w:r>
    </w:p>
    <w:bookmarkEnd w:id="123"/>
    <w:bookmarkStart w:id="124" w:name="newsletters."/>
    <w:p>
      <w:pPr>
        <w:pStyle w:val="Heading3"/>
      </w:pPr>
      <w:r>
        <w:t xml:space="preserve">Newsletters.</w:t>
      </w:r>
    </w:p>
    <w:p>
      <w:pPr>
        <w:pStyle w:val="FirstParagraph"/>
      </w:pPr>
      <w:r>
        <w:t xml:space="preserve">Move automatically into folders.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31" w:name="teams-channels"/>
    <w:p>
      <w:pPr>
        <w:pStyle w:val="Heading1"/>
      </w:pPr>
      <w:r>
        <w:t xml:space="preserve">Teams Channels</w:t>
      </w:r>
    </w:p>
    <w:p>
      <w:pPr>
        <w:pStyle w:val="FirstParagraph"/>
      </w:pPr>
      <w:r>
        <w:t xml:space="preserve">Create channels:</w:t>
      </w:r>
    </w:p>
    <w:bookmarkStart w:id="126" w:name="counterparties-1"/>
    <w:p>
      <w:pPr>
        <w:pStyle w:val="Heading3"/>
      </w:pPr>
      <w:r>
        <w:t xml:space="preserve">Counterparties</w:t>
      </w:r>
    </w:p>
    <w:bookmarkEnd w:id="126"/>
    <w:bookmarkStart w:id="127" w:name="commodities-1"/>
    <w:p>
      <w:pPr>
        <w:pStyle w:val="Heading3"/>
      </w:pPr>
      <w:r>
        <w:t xml:space="preserve">Commodities</w:t>
      </w:r>
    </w:p>
    <w:bookmarkEnd w:id="127"/>
    <w:bookmarkStart w:id="128" w:name="regulation"/>
    <w:p>
      <w:pPr>
        <w:pStyle w:val="Heading3"/>
      </w:pPr>
      <w:r>
        <w:t xml:space="preserve">Regulation</w:t>
      </w:r>
    </w:p>
    <w:bookmarkEnd w:id="128"/>
    <w:bookmarkStart w:id="129" w:name="ratings"/>
    <w:p>
      <w:pPr>
        <w:pStyle w:val="Heading3"/>
      </w:pPr>
      <w:r>
        <w:t xml:space="preserve">Ratings</w:t>
      </w:r>
    </w:p>
    <w:bookmarkEnd w:id="129"/>
    <w:bookmarkStart w:id="130" w:name="annual-reviews"/>
    <w:p>
      <w:pPr>
        <w:pStyle w:val="Heading3"/>
      </w:pPr>
      <w:r>
        <w:t xml:space="preserve">Annual Reviews</w:t>
      </w:r>
    </w:p>
    <w:p>
      <w:pPr>
        <w:pStyle w:val="FirstParagraph"/>
      </w:pPr>
      <w:r>
        <w:t xml:space="preserve">Useful for sharing information.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7" w:name="onenote-tracking"/>
    <w:p>
      <w:pPr>
        <w:pStyle w:val="Heading1"/>
      </w:pPr>
      <w:r>
        <w:t xml:space="preserve">OneNote Tracking</w:t>
      </w:r>
    </w:p>
    <w:p>
      <w:pPr>
        <w:pStyle w:val="FirstParagraph"/>
      </w:pPr>
      <w:r>
        <w:t xml:space="preserve">Maintain pages for:</w:t>
      </w:r>
    </w:p>
    <w:bookmarkStart w:id="132" w:name="counterparties-2"/>
    <w:p>
      <w:pPr>
        <w:pStyle w:val="Heading3"/>
      </w:pPr>
      <w:r>
        <w:t xml:space="preserve">Counterparties</w:t>
      </w:r>
    </w:p>
    <w:bookmarkEnd w:id="132"/>
    <w:bookmarkStart w:id="133" w:name="industries-1"/>
    <w:p>
      <w:pPr>
        <w:pStyle w:val="Heading3"/>
      </w:pPr>
      <w:r>
        <w:t xml:space="preserve">Industries</w:t>
      </w:r>
    </w:p>
    <w:bookmarkEnd w:id="133"/>
    <w:bookmarkStart w:id="134" w:name="commodities-2"/>
    <w:p>
      <w:pPr>
        <w:pStyle w:val="Heading3"/>
      </w:pPr>
      <w:r>
        <w:t xml:space="preserve">Commodities</w:t>
      </w:r>
    </w:p>
    <w:bookmarkEnd w:id="134"/>
    <w:bookmarkStart w:id="135" w:name="governments"/>
    <w:p>
      <w:pPr>
        <w:pStyle w:val="Heading3"/>
      </w:pPr>
      <w:r>
        <w:t xml:space="preserve">Governments</w:t>
      </w:r>
    </w:p>
    <w:bookmarkEnd w:id="135"/>
    <w:bookmarkStart w:id="136" w:name="key-developments"/>
    <w:p>
      <w:pPr>
        <w:pStyle w:val="Heading3"/>
      </w:pPr>
      <w:r>
        <w:t xml:space="preserve">Key developments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38" w:name="ai-workflows"/>
    <w:p>
      <w:pPr>
        <w:pStyle w:val="Heading1"/>
      </w:pPr>
      <w:r>
        <w:t xml:space="preserve">AI Workflows</w:t>
      </w:r>
    </w:p>
    <w:p>
      <w:pPr>
        <w:pStyle w:val="FirstParagraph"/>
      </w:pPr>
      <w:r>
        <w:t xml:space="preserve">AI works extremely well with monitoring.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Prompt:</w:t>
      </w:r>
    </w:p>
    <w:p>
      <w:pPr>
        <w:pStyle w:val="BlockText"/>
      </w:pPr>
      <w:r>
        <w:t xml:space="preserve">Summarise the key developments from these company announcements and identify any credit implications.</w:t>
      </w:r>
    </w:p>
    <w:p>
      <w:pPr>
        <w:pStyle w:val="FirstParagraph"/>
      </w:pPr>
      <w:r>
        <w:t xml:space="preserve">Another example:</w:t>
      </w:r>
    </w:p>
    <w:p>
      <w:pPr>
        <w:pStyle w:val="BlockText"/>
      </w:pPr>
      <w:r>
        <w:t xml:space="preserve">Compare these two quarterly reports and identify material changes.</w:t>
      </w:r>
    </w:p>
    <w:p>
      <w:r>
        <w:pict>
          <v:rect style="width:0;height:1.5pt" o:hralign="center" o:hrstd="t" o:hr="t"/>
        </w:pict>
      </w:r>
    </w:p>
    <w:bookmarkEnd w:id="138"/>
    <w:bookmarkStart w:id="139" w:name="recommended-learning-resources"/>
    <w:p>
      <w:pPr>
        <w:pStyle w:val="Heading1"/>
      </w:pPr>
      <w:r>
        <w:t xml:space="preserve">Recommended Learning Resources</w:t>
      </w:r>
    </w:p>
    <w:bookmarkEnd w:id="139"/>
    <w:bookmarkStart w:id="150" w:name="tier-1"/>
    <w:p>
      <w:pPr>
        <w:pStyle w:val="Heading1"/>
      </w:pPr>
      <w:r>
        <w:t xml:space="preserve">Tier 1</w:t>
      </w:r>
    </w:p>
    <w:bookmarkStart w:id="140" w:name="bloomberg-1"/>
    <w:p>
      <w:pPr>
        <w:pStyle w:val="Heading2"/>
      </w:pPr>
      <w:r>
        <w:t xml:space="preserve">Bloomberg</w:t>
      </w:r>
    </w:p>
    <w:p>
      <w:pPr>
        <w:pStyle w:val="FirstParagraph"/>
      </w:pPr>
      <w:r>
        <w:t xml:space="preserve">★★★★★</w:t>
      </w:r>
    </w:p>
    <w:p>
      <w:pPr>
        <w:pStyle w:val="BodyText"/>
      </w:pPr>
      <w:r>
        <w:t xml:space="preserve">Most powerful monitoring platform.</w:t>
      </w:r>
    </w:p>
    <w:p>
      <w:r>
        <w:pict>
          <v:rect style="width:0;height:1.5pt" o:hralign="center" o:hrstd="t" o:hr="t"/>
        </w:pict>
      </w:r>
    </w:p>
    <w:bookmarkEnd w:id="140"/>
    <w:bookmarkStart w:id="141" w:name="reuters-1"/>
    <w:p>
      <w:pPr>
        <w:pStyle w:val="Heading2"/>
      </w:pPr>
      <w:r>
        <w:t xml:space="preserve">Reuters</w:t>
      </w:r>
    </w:p>
    <w:p>
      <w:pPr>
        <w:pStyle w:val="FirstParagraph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141"/>
    <w:bookmarkStart w:id="142" w:name="sec-edgar"/>
    <w:p>
      <w:pPr>
        <w:pStyle w:val="Heading2"/>
      </w:pPr>
      <w:r>
        <w:t xml:space="preserve">SEC EDGAR</w:t>
      </w:r>
    </w:p>
    <w:p>
      <w:pPr>
        <w:pStyle w:val="FirstParagraph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142"/>
    <w:bookmarkStart w:id="143" w:name="asx-announcements"/>
    <w:p>
      <w:pPr>
        <w:pStyle w:val="Heading2"/>
      </w:pPr>
      <w:r>
        <w:t xml:space="preserve">ASX Announcements</w:t>
      </w:r>
    </w:p>
    <w:p>
      <w:pPr>
        <w:pStyle w:val="FirstParagraph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143"/>
    <w:bookmarkStart w:id="144" w:name="feedly-1"/>
    <w:p>
      <w:pPr>
        <w:pStyle w:val="Heading2"/>
      </w:pPr>
      <w:r>
        <w:t xml:space="preserve">Feedly</w:t>
      </w:r>
    </w:p>
    <w:p>
      <w:pPr>
        <w:pStyle w:val="FirstParagraph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144"/>
    <w:bookmarkStart w:id="145" w:name="google-alerts-1"/>
    <w:p>
      <w:pPr>
        <w:pStyle w:val="Heading2"/>
      </w:pPr>
      <w:r>
        <w:t xml:space="preserve">Google Alerts</w:t>
      </w:r>
    </w:p>
    <w:p>
      <w:pPr>
        <w:pStyle w:val="FirstParagraph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145"/>
    <w:bookmarkStart w:id="146" w:name="apra-1"/>
    <w:p>
      <w:pPr>
        <w:pStyle w:val="Heading2"/>
      </w:pPr>
      <w:r>
        <w:t xml:space="preserve">APRA</w:t>
      </w:r>
    </w:p>
    <w:p>
      <w:pPr>
        <w:pStyle w:val="FirstParagraph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146"/>
    <w:bookmarkStart w:id="147" w:name="mas-1"/>
    <w:p>
      <w:pPr>
        <w:pStyle w:val="Heading2"/>
      </w:pPr>
      <w:r>
        <w:t xml:space="preserve">MAS</w:t>
      </w:r>
    </w:p>
    <w:p>
      <w:pPr>
        <w:pStyle w:val="FirstParagraph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147"/>
    <w:bookmarkStart w:id="148" w:name="moodys-1"/>
    <w:p>
      <w:pPr>
        <w:pStyle w:val="Heading2"/>
      </w:pPr>
      <w:r>
        <w:t xml:space="preserve">Moody’s</w:t>
      </w:r>
    </w:p>
    <w:p>
      <w:pPr>
        <w:pStyle w:val="FirstParagraph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148"/>
    <w:bookmarkStart w:id="149" w:name="sp-ratings"/>
    <w:p>
      <w:pPr>
        <w:pStyle w:val="Heading2"/>
      </w:pPr>
      <w:r>
        <w:t xml:space="preserve">S&amp;P Ratings</w:t>
      </w:r>
    </w:p>
    <w:p>
      <w:pPr>
        <w:pStyle w:val="FirstParagraph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61" w:name="tier-2"/>
    <w:p>
      <w:pPr>
        <w:pStyle w:val="Heading1"/>
      </w:pPr>
      <w:r>
        <w:t xml:space="preserve">Tier 2</w:t>
      </w:r>
    </w:p>
    <w:bookmarkStart w:id="151" w:name="financial-times-1"/>
    <w:p>
      <w:pPr>
        <w:pStyle w:val="Heading2"/>
      </w:pPr>
      <w:r>
        <w:t xml:space="preserve">Financial Times</w:t>
      </w:r>
    </w:p>
    <w:p>
      <w:pPr>
        <w:pStyle w:val="FirstParagraph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151"/>
    <w:bookmarkStart w:id="152" w:name="wall-street-journal-1"/>
    <w:p>
      <w:pPr>
        <w:pStyle w:val="Heading2"/>
      </w:pPr>
      <w:r>
        <w:t xml:space="preserve">Wall Street Journal</w:t>
      </w:r>
    </w:p>
    <w:p>
      <w:pPr>
        <w:pStyle w:val="FirstParagraph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152"/>
    <w:bookmarkStart w:id="153" w:name="afr-1"/>
    <w:p>
      <w:pPr>
        <w:pStyle w:val="Heading2"/>
      </w:pPr>
      <w:r>
        <w:t xml:space="preserve">AFR</w:t>
      </w:r>
    </w:p>
    <w:p>
      <w:pPr>
        <w:pStyle w:val="FirstParagraph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153"/>
    <w:bookmarkStart w:id="154" w:name="fastmarkets-1"/>
    <w:p>
      <w:pPr>
        <w:pStyle w:val="Heading2"/>
      </w:pPr>
      <w:r>
        <w:t xml:space="preserve">Fastmarkets</w:t>
      </w:r>
    </w:p>
    <w:p>
      <w:pPr>
        <w:pStyle w:val="FirstParagraph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154"/>
    <w:bookmarkStart w:id="155" w:name="argus-1"/>
    <w:p>
      <w:pPr>
        <w:pStyle w:val="Heading2"/>
      </w:pPr>
      <w:r>
        <w:t xml:space="preserve">Argus</w:t>
      </w:r>
    </w:p>
    <w:p>
      <w:pPr>
        <w:pStyle w:val="FirstParagraph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155"/>
    <w:bookmarkStart w:id="156" w:name="mining.com-1"/>
    <w:p>
      <w:pPr>
        <w:pStyle w:val="Heading2"/>
      </w:pPr>
      <w:r>
        <w:t xml:space="preserve">Mining.com</w:t>
      </w:r>
    </w:p>
    <w:p>
      <w:pPr>
        <w:pStyle w:val="FirstParagraph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156"/>
    <w:bookmarkStart w:id="157" w:name="opec-2"/>
    <w:p>
      <w:pPr>
        <w:pStyle w:val="Heading2"/>
      </w:pPr>
      <w:r>
        <w:t xml:space="preserve">OPEC</w:t>
      </w:r>
    </w:p>
    <w:p>
      <w:pPr>
        <w:pStyle w:val="FirstParagraph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157"/>
    <w:bookmarkStart w:id="158" w:name="world-gold-council-1"/>
    <w:p>
      <w:pPr>
        <w:pStyle w:val="Heading2"/>
      </w:pPr>
      <w:r>
        <w:t xml:space="preserve">World Gold Council</w:t>
      </w:r>
    </w:p>
    <w:p>
      <w:pPr>
        <w:pStyle w:val="FirstParagraph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158"/>
    <w:bookmarkStart w:id="159" w:name="icmm-1"/>
    <w:p>
      <w:pPr>
        <w:pStyle w:val="Heading2"/>
      </w:pPr>
      <w:r>
        <w:t xml:space="preserve">ICMM</w:t>
      </w:r>
    </w:p>
    <w:p>
      <w:pPr>
        <w:pStyle w:val="FirstParagraph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159"/>
    <w:bookmarkStart w:id="160" w:name="imf-1"/>
    <w:p>
      <w:pPr>
        <w:pStyle w:val="Heading2"/>
      </w:pPr>
      <w:r>
        <w:t xml:space="preserve">IMF</w:t>
      </w:r>
    </w:p>
    <w:p>
      <w:pPr>
        <w:pStyle w:val="FirstParagraph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62" w:name="suggested-monitoring-structure"/>
    <w:p>
      <w:pPr>
        <w:pStyle w:val="Heading1"/>
      </w:pPr>
      <w:r>
        <w:t xml:space="preserve">Suggested Monitoring Structure</w:t>
      </w:r>
    </w:p>
    <w:p>
      <w:pPr>
        <w:pStyle w:val="SourceCode"/>
      </w:pPr>
      <w:r>
        <w:rPr>
          <w:rStyle w:val="VerbatimChar"/>
        </w:rPr>
        <w:t xml:space="preserve">Counterparties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BHP</w:t>
      </w:r>
      <w:r>
        <w:br/>
      </w:r>
      <w:r>
        <w:rPr>
          <w:rStyle w:val="VerbatimChar"/>
        </w:rPr>
        <w:t xml:space="preserve">├── Rio Tinto</w:t>
      </w:r>
      <w:r>
        <w:br/>
      </w:r>
      <w:r>
        <w:rPr>
          <w:rStyle w:val="VerbatimChar"/>
        </w:rPr>
        <w:t xml:space="preserve">├── South32</w:t>
      </w:r>
      <w:r>
        <w:br/>
      </w:r>
      <w:r>
        <w:rPr>
          <w:rStyle w:val="VerbatimChar"/>
        </w:rPr>
        <w:t xml:space="preserve">├── Glencore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Industries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Copper</w:t>
      </w:r>
      <w:r>
        <w:br/>
      </w:r>
      <w:r>
        <w:rPr>
          <w:rStyle w:val="VerbatimChar"/>
        </w:rPr>
        <w:t xml:space="preserve">├── Gold</w:t>
      </w:r>
      <w:r>
        <w:br/>
      </w:r>
      <w:r>
        <w:rPr>
          <w:rStyle w:val="VerbatimChar"/>
        </w:rPr>
        <w:t xml:space="preserve">├── Coal</w:t>
      </w:r>
      <w:r>
        <w:br/>
      </w:r>
      <w:r>
        <w:rPr>
          <w:rStyle w:val="VerbatimChar"/>
        </w:rPr>
        <w:t xml:space="preserve">├── Oil &amp; Gas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Regulation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APRA</w:t>
      </w:r>
      <w:r>
        <w:br/>
      </w:r>
      <w:r>
        <w:rPr>
          <w:rStyle w:val="VerbatimChar"/>
        </w:rPr>
        <w:t xml:space="preserve">├── ASIC</w:t>
      </w:r>
      <w:r>
        <w:br/>
      </w:r>
      <w:r>
        <w:rPr>
          <w:rStyle w:val="VerbatimChar"/>
        </w:rPr>
        <w:t xml:space="preserve">├── MAS</w:t>
      </w:r>
      <w:r>
        <w:br/>
      </w:r>
      <w:r>
        <w:rPr>
          <w:rStyle w:val="VerbatimChar"/>
        </w:rPr>
        <w:t xml:space="preserve">├── SEC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Ratings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Moody's</w:t>
      </w:r>
      <w:r>
        <w:br/>
      </w:r>
      <w:r>
        <w:rPr>
          <w:rStyle w:val="VerbatimChar"/>
        </w:rPr>
        <w:t xml:space="preserve">├── S&amp;P</w:t>
      </w:r>
      <w:r>
        <w:br/>
      </w:r>
      <w:r>
        <w:rPr>
          <w:rStyle w:val="VerbatimChar"/>
        </w:rPr>
        <w:t xml:space="preserve">├── Fitch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Markets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Interest Rates</w:t>
      </w:r>
      <w:r>
        <w:br/>
      </w:r>
      <w:r>
        <w:rPr>
          <w:rStyle w:val="VerbatimChar"/>
        </w:rPr>
        <w:t xml:space="preserve">├── FX</w:t>
      </w:r>
      <w:r>
        <w:br/>
      </w:r>
      <w:r>
        <w:rPr>
          <w:rStyle w:val="VerbatimChar"/>
        </w:rPr>
        <w:t xml:space="preserve">├── Commodity Prices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News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Reuters</w:t>
      </w:r>
      <w:r>
        <w:br/>
      </w:r>
      <w:r>
        <w:rPr>
          <w:rStyle w:val="VerbatimChar"/>
        </w:rPr>
        <w:t xml:space="preserve">├── FT</w:t>
      </w:r>
      <w:r>
        <w:br/>
      </w:r>
      <w:r>
        <w:rPr>
          <w:rStyle w:val="VerbatimChar"/>
        </w:rPr>
        <w:t xml:space="preserve">├── AFR</w:t>
      </w:r>
    </w:p>
    <w:p>
      <w:r>
        <w:pict>
          <v:rect style="width:0;height:1.5pt" o:hralign="center" o:hrstd="t" o:hr="t"/>
        </w:pict>
      </w:r>
    </w:p>
    <w:bookmarkEnd w:id="162"/>
    <w:bookmarkStart w:id="163" w:name="practical-recommendation"/>
    <w:p>
      <w:pPr>
        <w:pStyle w:val="Heading1"/>
      </w:pPr>
      <w:r>
        <w:t xml:space="preserve">Practical Recommendation</w:t>
      </w:r>
    </w:p>
    <w:p>
      <w:pPr>
        <w:pStyle w:val="FirstParagraph"/>
      </w:pPr>
      <w:r>
        <w:t xml:space="preserve">The highest-value sources for credit analysts are:</w:t>
      </w:r>
    </w:p>
    <w:p>
      <w:pPr>
        <w:pStyle w:val="Compact"/>
        <w:numPr>
          <w:ilvl w:val="0"/>
          <w:numId w:val="1023"/>
        </w:numPr>
      </w:pPr>
      <w:r>
        <w:t xml:space="preserve">Bloomberg.</w:t>
      </w:r>
    </w:p>
    <w:p>
      <w:pPr>
        <w:pStyle w:val="Compact"/>
        <w:numPr>
          <w:ilvl w:val="0"/>
          <w:numId w:val="1023"/>
        </w:numPr>
      </w:pPr>
      <w:r>
        <w:t xml:space="preserve">Exchange announcements.</w:t>
      </w:r>
    </w:p>
    <w:p>
      <w:pPr>
        <w:pStyle w:val="Compact"/>
        <w:numPr>
          <w:ilvl w:val="0"/>
          <w:numId w:val="1023"/>
        </w:numPr>
      </w:pPr>
      <w:r>
        <w:t xml:space="preserve">Company investor relations pages.</w:t>
      </w:r>
    </w:p>
    <w:p>
      <w:pPr>
        <w:pStyle w:val="Compact"/>
        <w:numPr>
          <w:ilvl w:val="0"/>
          <w:numId w:val="1023"/>
        </w:numPr>
      </w:pPr>
      <w:r>
        <w:t xml:space="preserve">SEC EDGAR.</w:t>
      </w:r>
    </w:p>
    <w:p>
      <w:pPr>
        <w:pStyle w:val="Compact"/>
        <w:numPr>
          <w:ilvl w:val="0"/>
          <w:numId w:val="1023"/>
        </w:numPr>
      </w:pPr>
      <w:r>
        <w:t xml:space="preserve">Reuters.</w:t>
      </w:r>
    </w:p>
    <w:p>
      <w:pPr>
        <w:pStyle w:val="Compact"/>
        <w:numPr>
          <w:ilvl w:val="0"/>
          <w:numId w:val="1023"/>
        </w:numPr>
      </w:pPr>
      <w:r>
        <w:t xml:space="preserve">Rating agencies.</w:t>
      </w:r>
    </w:p>
    <w:p>
      <w:pPr>
        <w:pStyle w:val="Compact"/>
        <w:numPr>
          <w:ilvl w:val="0"/>
          <w:numId w:val="1023"/>
        </w:numPr>
      </w:pPr>
      <w:r>
        <w:t xml:space="preserve">APRA and MAS.</w:t>
      </w:r>
    </w:p>
    <w:p>
      <w:pPr>
        <w:pStyle w:val="Compact"/>
        <w:numPr>
          <w:ilvl w:val="0"/>
          <w:numId w:val="1023"/>
        </w:numPr>
      </w:pPr>
      <w:r>
        <w:t xml:space="preserve">Feedly RSS.</w:t>
      </w:r>
    </w:p>
    <w:p>
      <w:pPr>
        <w:pStyle w:val="Compact"/>
        <w:numPr>
          <w:ilvl w:val="0"/>
          <w:numId w:val="1023"/>
        </w:numPr>
      </w:pPr>
      <w:r>
        <w:t xml:space="preserve">Google Alerts.</w:t>
      </w:r>
    </w:p>
    <w:p>
      <w:pPr>
        <w:pStyle w:val="Compact"/>
        <w:numPr>
          <w:ilvl w:val="0"/>
          <w:numId w:val="1023"/>
        </w:numPr>
      </w:pPr>
      <w:r>
        <w:t xml:space="preserve">Industry publications.</w:t>
      </w:r>
    </w:p>
    <w:p>
      <w:pPr>
        <w:pStyle w:val="FirstParagraph"/>
      </w:pPr>
      <w:r>
        <w:t xml:space="preserve">These should form the foundation of a monitoring framework for both listed and unlisted counterparties.</w:t>
      </w:r>
    </w:p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2026-06-19T07:08:47Z</dcterms:created>
  <dcterms:modified xsi:type="dcterms:W3CDTF">2026-06-19T07:08:47Z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