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B21E7F" w14:textId="53767339" w:rsidR="00A82CF1" w:rsidRDefault="00A82CF1" w:rsidP="00252219">
      <w:pPr>
        <w:ind w:left="420" w:hanging="420"/>
      </w:pPr>
      <w:r>
        <w:rPr>
          <w:rFonts w:hint="eastAsia"/>
        </w:rPr>
        <w:t>第一问（part</w:t>
      </w:r>
      <w:r>
        <w:t xml:space="preserve"> </w:t>
      </w:r>
      <w:r>
        <w:rPr>
          <w:rFonts w:hint="eastAsia"/>
        </w:rPr>
        <w:t>two）</w:t>
      </w:r>
    </w:p>
    <w:p w14:paraId="76CEE8A4" w14:textId="234BB16E" w:rsidR="00A82CF1" w:rsidRDefault="00A82CF1" w:rsidP="001C3AA9">
      <w:pPr>
        <w:ind w:left="1260" w:hanging="1260"/>
      </w:pPr>
      <w:r>
        <w:rPr>
          <w:rFonts w:hint="eastAsia"/>
        </w:rPr>
        <w:t>Fr</w:t>
      </w:r>
      <w:r>
        <w:t>om many reports from the citizens, It is clear that the presence of Vespa mandarinia has</w:t>
      </w:r>
      <w:r>
        <w:rPr>
          <w:rFonts w:hint="eastAsia"/>
        </w:rPr>
        <w:t xml:space="preserve"> </w:t>
      </w:r>
      <w:r>
        <w:t>caused seriously anxiety.</w:t>
      </w:r>
      <w:r>
        <w:rPr>
          <w:rFonts w:hint="eastAsia"/>
        </w:rPr>
        <w:t xml:space="preserve"> </w:t>
      </w:r>
      <w:r>
        <w:t>In order to appease the people,</w:t>
      </w:r>
      <w:r w:rsidR="001C3AA9">
        <w:t xml:space="preserve"> it becomes urgent to </w:t>
      </w:r>
      <w:r>
        <w:t xml:space="preserve">predict </w:t>
      </w:r>
      <w:r w:rsidR="001C3AA9">
        <w:t>and</w:t>
      </w:r>
      <w:r>
        <w:t xml:space="preserve"> take </w:t>
      </w:r>
      <w:r w:rsidR="001C3AA9">
        <w:t>measures.</w:t>
      </w:r>
    </w:p>
    <w:p w14:paraId="29E29B89" w14:textId="697D4C28" w:rsidR="001C3AA9" w:rsidRPr="001C3AA9" w:rsidRDefault="001C3AA9" w:rsidP="001C3AA9">
      <w:pPr>
        <w:ind w:left="1260" w:hanging="1260"/>
        <w:rPr>
          <w:sz w:val="22"/>
          <w:szCs w:val="24"/>
        </w:rPr>
      </w:pPr>
      <w:r>
        <w:t xml:space="preserve">Firstly, using the data we </w:t>
      </w:r>
      <w:r w:rsidR="004D3620">
        <w:t>draw a line chart</w:t>
      </w:r>
      <w:r>
        <w:t xml:space="preserve">. </w:t>
      </w:r>
      <w:r w:rsidRPr="001C3AA9">
        <w:t>According to its data characteristics and order of magnitude, we divided the data into three groups</w:t>
      </w:r>
      <w:r>
        <w:t xml:space="preserve">: detect date between 2010 and 2019, detect data in 2020 and submission date (all in 2020). From the </w:t>
      </w:r>
      <w:r w:rsidR="004D3620">
        <w:t>chart 1,</w:t>
      </w:r>
      <w:r w:rsidR="00882145">
        <w:t xml:space="preserve"> between</w:t>
      </w:r>
      <w:r w:rsidR="00882145" w:rsidRPr="00882145">
        <w:t xml:space="preserve"> 2010 </w:t>
      </w:r>
      <w:r w:rsidR="00882145">
        <w:t xml:space="preserve">and </w:t>
      </w:r>
      <w:r w:rsidR="00882145" w:rsidRPr="00882145">
        <w:t xml:space="preserve">2018, the number of </w:t>
      </w:r>
      <w:r w:rsidR="00882145">
        <w:t>detection</w:t>
      </w:r>
      <w:r w:rsidR="00882145" w:rsidRPr="00882145">
        <w:t xml:space="preserve"> was within single digits, and there was not much fluctuation. But from 2019, the number has started to increase dramatically. In 2020, the number of monthly reports has risen directly to the order of hundreds of digits.</w:t>
      </w:r>
      <w:r w:rsidR="00882145">
        <w:t xml:space="preserve"> </w:t>
      </w:r>
      <w:r w:rsidR="00882145" w:rsidRPr="00882145">
        <w:t>In August</w:t>
      </w:r>
      <w:r w:rsidR="00882145">
        <w:t xml:space="preserve"> of 2020</w:t>
      </w:r>
      <w:r w:rsidR="00882145" w:rsidRPr="00882145">
        <w:t>, the number even exceeded 1,000.</w:t>
      </w:r>
      <w:r w:rsidR="00882145">
        <w:t xml:space="preserve"> </w:t>
      </w:r>
      <w:r w:rsidR="00A00333" w:rsidRPr="00A00333">
        <w:t>As for the date of submission, from the data point of view, it is basically concentrated in 2020.</w:t>
      </w:r>
    </w:p>
    <w:p w14:paraId="316B0022" w14:textId="77777777" w:rsidR="00A82CF1" w:rsidRDefault="00A82CF1" w:rsidP="00252219">
      <w:pPr>
        <w:ind w:left="420" w:hanging="420"/>
      </w:pPr>
    </w:p>
    <w:p w14:paraId="6634B739" w14:textId="0ED28F00" w:rsidR="00A82CF1" w:rsidRDefault="001C3AA9" w:rsidP="00252219">
      <w:pPr>
        <w:ind w:left="420" w:hanging="420"/>
      </w:pPr>
      <w:r>
        <w:rPr>
          <w:noProof/>
        </w:rPr>
        <w:drawing>
          <wp:inline distT="0" distB="0" distL="0" distR="0" wp14:anchorId="5832F79F" wp14:editId="636626EF">
            <wp:extent cx="2076450" cy="1695450"/>
            <wp:effectExtent l="0" t="0" r="0" b="0"/>
            <wp:docPr id="1" name="图表 1">
              <a:extLst xmlns:a="http://schemas.openxmlformats.org/drawingml/2006/main">
                <a:ext uri="{FF2B5EF4-FFF2-40B4-BE49-F238E27FC236}">
                  <a16:creationId xmlns:a16="http://schemas.microsoft.com/office/drawing/2014/main" id="{1E520A5D-62BC-4681-82FC-269AA92D95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Pr="001C3AA9">
        <w:rPr>
          <w:noProof/>
        </w:rPr>
        <w:t xml:space="preserve"> </w:t>
      </w:r>
      <w:r>
        <w:rPr>
          <w:noProof/>
        </w:rPr>
        <w:drawing>
          <wp:inline distT="0" distB="0" distL="0" distR="0" wp14:anchorId="3D079FE6" wp14:editId="783B6AEB">
            <wp:extent cx="3038475" cy="1857375"/>
            <wp:effectExtent l="0" t="0" r="9525" b="9525"/>
            <wp:docPr id="2" name="图表 2">
              <a:extLst xmlns:a="http://schemas.openxmlformats.org/drawingml/2006/main">
                <a:ext uri="{FF2B5EF4-FFF2-40B4-BE49-F238E27FC236}">
                  <a16:creationId xmlns:a16="http://schemas.microsoft.com/office/drawing/2014/main" id="{FF14613A-25D3-45D8-BBD4-52EDF02DD5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1C3AA9">
        <w:rPr>
          <w:noProof/>
        </w:rPr>
        <w:t xml:space="preserve"> </w:t>
      </w:r>
      <w:r>
        <w:rPr>
          <w:noProof/>
        </w:rPr>
        <w:drawing>
          <wp:inline distT="0" distB="0" distL="0" distR="0" wp14:anchorId="46FE6367" wp14:editId="576D8DF2">
            <wp:extent cx="3276600" cy="2295525"/>
            <wp:effectExtent l="0" t="0" r="0" b="9525"/>
            <wp:docPr id="3" name="图表 3">
              <a:extLst xmlns:a="http://schemas.openxmlformats.org/drawingml/2006/main">
                <a:ext uri="{FF2B5EF4-FFF2-40B4-BE49-F238E27FC236}">
                  <a16:creationId xmlns:a16="http://schemas.microsoft.com/office/drawing/2014/main" id="{4B358101-70A4-47BE-B13E-44B061BC26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3BF35EC" w14:textId="77777777" w:rsidR="00F212A5" w:rsidRDefault="00F212A5" w:rsidP="00252219">
      <w:pPr>
        <w:ind w:left="420" w:hanging="420"/>
      </w:pPr>
    </w:p>
    <w:p w14:paraId="52DFE3F9" w14:textId="77777777" w:rsidR="00F212A5" w:rsidRDefault="00F212A5" w:rsidP="00252219">
      <w:pPr>
        <w:ind w:left="420" w:hanging="420"/>
      </w:pPr>
    </w:p>
    <w:p w14:paraId="270A9C80" w14:textId="77777777" w:rsidR="00F212A5" w:rsidRDefault="00F212A5" w:rsidP="00252219">
      <w:pPr>
        <w:ind w:left="420" w:hanging="420"/>
      </w:pPr>
    </w:p>
    <w:p w14:paraId="146AE1F1" w14:textId="77777777" w:rsidR="00F212A5" w:rsidRDefault="00F212A5" w:rsidP="00252219">
      <w:pPr>
        <w:ind w:left="420" w:hanging="420"/>
      </w:pPr>
    </w:p>
    <w:p w14:paraId="088FC2F6" w14:textId="77777777" w:rsidR="00F212A5" w:rsidRDefault="00F212A5" w:rsidP="00252219">
      <w:pPr>
        <w:ind w:left="420" w:hanging="420"/>
      </w:pPr>
    </w:p>
    <w:p w14:paraId="7200C29E" w14:textId="77777777" w:rsidR="00F212A5" w:rsidRDefault="00F212A5" w:rsidP="00252219">
      <w:pPr>
        <w:ind w:left="420" w:hanging="420"/>
      </w:pPr>
    </w:p>
    <w:p w14:paraId="3986CA3A" w14:textId="77777777" w:rsidR="00F212A5" w:rsidRDefault="00F212A5" w:rsidP="00252219">
      <w:pPr>
        <w:ind w:left="420" w:hanging="420"/>
      </w:pPr>
    </w:p>
    <w:p w14:paraId="73B6C3AE" w14:textId="22372B59" w:rsidR="00A35CC9" w:rsidRDefault="00252219" w:rsidP="00252219">
      <w:pPr>
        <w:ind w:left="420" w:hanging="420"/>
      </w:pPr>
      <w:r>
        <w:t>Autoregressive Integrated Moving Average (ARIMA) mode has been widely used in</w:t>
      </w:r>
      <w:r w:rsidR="00F212A5">
        <w:t xml:space="preserve"> </w:t>
      </w:r>
      <w:r>
        <w:lastRenderedPageBreak/>
        <w:t>agricultural, econometrics and so on. It is a generalization of an autoregressive moving</w:t>
      </w:r>
      <w:r w:rsidR="00F212A5">
        <w:t xml:space="preserve"> </w:t>
      </w:r>
      <w:r>
        <w:t>average (ARMA) model. Both of these models are fitted to time series data either to better understand</w:t>
      </w:r>
      <w:r w:rsidR="00F212A5">
        <w:t xml:space="preserve"> the data or to predict future points in the series (forecasting). (1)</w:t>
      </w:r>
    </w:p>
    <w:p w14:paraId="6915F4D5" w14:textId="0A5E8924" w:rsidR="00F212A5" w:rsidRDefault="00F212A5" w:rsidP="00252219">
      <w:pPr>
        <w:ind w:left="420" w:hanging="420"/>
      </w:pPr>
    </w:p>
    <w:p w14:paraId="67BFE3EC" w14:textId="4797B744" w:rsidR="00F212A5" w:rsidRDefault="00F212A5" w:rsidP="00252219">
      <w:pPr>
        <w:ind w:left="420" w:hanging="420"/>
      </w:pPr>
    </w:p>
    <w:p w14:paraId="225E8013" w14:textId="1E64209C" w:rsidR="00F212A5" w:rsidRDefault="00F212A5" w:rsidP="00252219">
      <w:pPr>
        <w:ind w:left="420" w:hanging="420"/>
      </w:pPr>
    </w:p>
    <w:p w14:paraId="0243D3FF" w14:textId="7F289082" w:rsidR="00F212A5" w:rsidRDefault="00F212A5" w:rsidP="00252219">
      <w:pPr>
        <w:ind w:left="420" w:hanging="420"/>
      </w:pPr>
    </w:p>
    <w:p w14:paraId="523CD83E" w14:textId="0340AD9A" w:rsidR="00F212A5" w:rsidRDefault="00F212A5" w:rsidP="00252219">
      <w:pPr>
        <w:ind w:left="420" w:hanging="420"/>
      </w:pPr>
    </w:p>
    <w:p w14:paraId="63508FB6" w14:textId="747CB1B2" w:rsidR="00F212A5" w:rsidRDefault="00F212A5" w:rsidP="00252219">
      <w:pPr>
        <w:ind w:left="420" w:hanging="420"/>
      </w:pPr>
    </w:p>
    <w:p w14:paraId="6EB9E15D" w14:textId="6C07959C" w:rsidR="00F212A5" w:rsidRDefault="00F212A5" w:rsidP="00252219">
      <w:pPr>
        <w:ind w:left="420" w:hanging="420"/>
      </w:pPr>
    </w:p>
    <w:p w14:paraId="7A036001" w14:textId="6E86FA93" w:rsidR="00F212A5" w:rsidRDefault="00F212A5" w:rsidP="00252219">
      <w:pPr>
        <w:ind w:left="420" w:hanging="420"/>
      </w:pPr>
    </w:p>
    <w:p w14:paraId="4B47CF1D" w14:textId="1CE1732A" w:rsidR="00F212A5" w:rsidRDefault="00F212A5" w:rsidP="00252219">
      <w:pPr>
        <w:ind w:left="420" w:hanging="420"/>
      </w:pPr>
    </w:p>
    <w:p w14:paraId="100BCDC1" w14:textId="77777777" w:rsidR="00F212A5" w:rsidRDefault="00F212A5" w:rsidP="00252219">
      <w:pPr>
        <w:ind w:left="420" w:hanging="420"/>
      </w:pPr>
    </w:p>
    <w:p w14:paraId="13D0170F" w14:textId="311158CA" w:rsidR="00F212A5" w:rsidRDefault="00F212A5" w:rsidP="00252219">
      <w:pPr>
        <w:ind w:left="420" w:hanging="420"/>
      </w:pPr>
    </w:p>
    <w:p w14:paraId="01881C05" w14:textId="5DA7AF1A" w:rsidR="00F212A5" w:rsidRDefault="00F212A5" w:rsidP="00252219">
      <w:pPr>
        <w:ind w:left="420" w:hanging="420"/>
      </w:pPr>
    </w:p>
    <w:p w14:paraId="04F556A3" w14:textId="53095027" w:rsidR="00F212A5" w:rsidRDefault="00F212A5" w:rsidP="00252219">
      <w:pPr>
        <w:ind w:left="420" w:hanging="420"/>
      </w:pPr>
    </w:p>
    <w:p w14:paraId="2754D710" w14:textId="2A40E1BB" w:rsidR="00F212A5" w:rsidRDefault="00A52E7C" w:rsidP="00A52E7C">
      <w:pPr>
        <w:pStyle w:val="a7"/>
        <w:numPr>
          <w:ilvl w:val="0"/>
          <w:numId w:val="1"/>
        </w:numPr>
        <w:ind w:firstLineChars="0"/>
      </w:pPr>
      <w:hyperlink r:id="rId10" w:history="1">
        <w:r w:rsidRPr="00994131">
          <w:rPr>
            <w:rStyle w:val="a8"/>
          </w:rPr>
          <w:t>https://en.wikipedia.org/wiki/Autoregressive_integrated_moving_average</w:t>
        </w:r>
      </w:hyperlink>
    </w:p>
    <w:p w14:paraId="36E78F39" w14:textId="4A8EF26D" w:rsidR="00A52E7C" w:rsidRDefault="00A52E7C" w:rsidP="00A52E7C"/>
    <w:p w14:paraId="68F7287F" w14:textId="6CD9755D" w:rsidR="00A52E7C" w:rsidRDefault="00A52E7C" w:rsidP="00A52E7C"/>
    <w:p w14:paraId="6D7859D5" w14:textId="4CBF3932" w:rsidR="00A52E7C" w:rsidRDefault="00A52E7C" w:rsidP="00A52E7C"/>
    <w:p w14:paraId="5F021C70" w14:textId="12034C2B" w:rsidR="00A52E7C" w:rsidRDefault="00A52E7C" w:rsidP="00A52E7C">
      <w:pPr>
        <w:rPr>
          <w:rFonts w:hint="eastAsia"/>
        </w:rPr>
      </w:pPr>
      <w:r>
        <w:rPr>
          <w:rFonts w:hint="eastAsia"/>
        </w:rPr>
        <w:t>时间序列</w:t>
      </w:r>
    </w:p>
    <w:sectPr w:rsidR="00A52E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3A0931" w14:textId="77777777" w:rsidR="001D7F97" w:rsidRDefault="001D7F97" w:rsidP="00A52E7C">
      <w:r>
        <w:separator/>
      </w:r>
    </w:p>
  </w:endnote>
  <w:endnote w:type="continuationSeparator" w:id="0">
    <w:p w14:paraId="34CBF9AE" w14:textId="77777777" w:rsidR="001D7F97" w:rsidRDefault="001D7F97" w:rsidP="00A52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091B26" w14:textId="77777777" w:rsidR="001D7F97" w:rsidRDefault="001D7F97" w:rsidP="00A52E7C">
      <w:r>
        <w:separator/>
      </w:r>
    </w:p>
  </w:footnote>
  <w:footnote w:type="continuationSeparator" w:id="0">
    <w:p w14:paraId="6B4C7AA7" w14:textId="77777777" w:rsidR="001D7F97" w:rsidRDefault="001D7F97" w:rsidP="00A52E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C47D9A"/>
    <w:multiLevelType w:val="hybridMultilevel"/>
    <w:tmpl w:val="C62E8288"/>
    <w:lvl w:ilvl="0" w:tplc="982652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0F"/>
    <w:rsid w:val="001C3AA9"/>
    <w:rsid w:val="001D7F97"/>
    <w:rsid w:val="00252219"/>
    <w:rsid w:val="00262C0F"/>
    <w:rsid w:val="004D3620"/>
    <w:rsid w:val="00882145"/>
    <w:rsid w:val="00A00333"/>
    <w:rsid w:val="00A35CC9"/>
    <w:rsid w:val="00A52E7C"/>
    <w:rsid w:val="00A82CF1"/>
    <w:rsid w:val="00EA3B2A"/>
    <w:rsid w:val="00F21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2F896"/>
  <w15:chartTrackingRefBased/>
  <w15:docId w15:val="{B2F1EACF-246A-4843-A0EE-82B90AF75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2E7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52E7C"/>
    <w:rPr>
      <w:sz w:val="18"/>
      <w:szCs w:val="18"/>
    </w:rPr>
  </w:style>
  <w:style w:type="paragraph" w:styleId="a5">
    <w:name w:val="footer"/>
    <w:basedOn w:val="a"/>
    <w:link w:val="a6"/>
    <w:uiPriority w:val="99"/>
    <w:unhideWhenUsed/>
    <w:rsid w:val="00A52E7C"/>
    <w:pPr>
      <w:tabs>
        <w:tab w:val="center" w:pos="4153"/>
        <w:tab w:val="right" w:pos="8306"/>
      </w:tabs>
      <w:snapToGrid w:val="0"/>
      <w:jc w:val="left"/>
    </w:pPr>
    <w:rPr>
      <w:sz w:val="18"/>
      <w:szCs w:val="18"/>
    </w:rPr>
  </w:style>
  <w:style w:type="character" w:customStyle="1" w:styleId="a6">
    <w:name w:val="页脚 字符"/>
    <w:basedOn w:val="a0"/>
    <w:link w:val="a5"/>
    <w:uiPriority w:val="99"/>
    <w:rsid w:val="00A52E7C"/>
    <w:rPr>
      <w:sz w:val="18"/>
      <w:szCs w:val="18"/>
    </w:rPr>
  </w:style>
  <w:style w:type="paragraph" w:styleId="a7">
    <w:name w:val="List Paragraph"/>
    <w:basedOn w:val="a"/>
    <w:uiPriority w:val="34"/>
    <w:qFormat/>
    <w:rsid w:val="00A52E7C"/>
    <w:pPr>
      <w:ind w:firstLineChars="200" w:firstLine="420"/>
    </w:pPr>
  </w:style>
  <w:style w:type="character" w:styleId="a8">
    <w:name w:val="Hyperlink"/>
    <w:basedOn w:val="a0"/>
    <w:uiPriority w:val="99"/>
    <w:unhideWhenUsed/>
    <w:rsid w:val="00A52E7C"/>
    <w:rPr>
      <w:color w:val="0563C1" w:themeColor="hyperlink"/>
      <w:u w:val="single"/>
    </w:rPr>
  </w:style>
  <w:style w:type="character" w:styleId="a9">
    <w:name w:val="Unresolved Mention"/>
    <w:basedOn w:val="a0"/>
    <w:uiPriority w:val="99"/>
    <w:semiHidden/>
    <w:unhideWhenUsed/>
    <w:rsid w:val="00A52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en.wikipedia.org/wiki/Autoregressive_integrated_moving_average" TargetMode="Externa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U%20Mengrui\Desktop\2021C\data\tbl_d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U%20Mengrui\Desktop\2021C\data\tbl_de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U%20Mengrui\Desktop\2021C\data\tbl_sub.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numRef>
              <c:f>Sheet2!$D$1:$D$10</c:f>
              <c:numCache>
                <c:formatCode>General</c:formatCode>
                <c:ptCount val="10"/>
                <c:pt idx="0">
                  <c:v>2010</c:v>
                </c:pt>
                <c:pt idx="1">
                  <c:v>2011</c:v>
                </c:pt>
                <c:pt idx="2">
                  <c:v>2012</c:v>
                </c:pt>
                <c:pt idx="3">
                  <c:v>2013</c:v>
                </c:pt>
                <c:pt idx="4">
                  <c:v>2014</c:v>
                </c:pt>
                <c:pt idx="5">
                  <c:v>2015</c:v>
                </c:pt>
                <c:pt idx="6">
                  <c:v>2016</c:v>
                </c:pt>
                <c:pt idx="7">
                  <c:v>2017</c:v>
                </c:pt>
                <c:pt idx="8">
                  <c:v>2018</c:v>
                </c:pt>
                <c:pt idx="9">
                  <c:v>2019</c:v>
                </c:pt>
              </c:numCache>
            </c:numRef>
          </c:cat>
          <c:val>
            <c:numRef>
              <c:f>Sheet2!$E$1:$E$10</c:f>
              <c:numCache>
                <c:formatCode>General</c:formatCode>
                <c:ptCount val="10"/>
                <c:pt idx="0">
                  <c:v>1</c:v>
                </c:pt>
                <c:pt idx="1">
                  <c:v>0</c:v>
                </c:pt>
                <c:pt idx="2">
                  <c:v>2</c:v>
                </c:pt>
                <c:pt idx="3">
                  <c:v>2</c:v>
                </c:pt>
                <c:pt idx="4">
                  <c:v>0</c:v>
                </c:pt>
                <c:pt idx="5">
                  <c:v>1</c:v>
                </c:pt>
                <c:pt idx="6">
                  <c:v>1</c:v>
                </c:pt>
                <c:pt idx="7">
                  <c:v>0</c:v>
                </c:pt>
                <c:pt idx="8">
                  <c:v>8</c:v>
                </c:pt>
                <c:pt idx="9">
                  <c:v>39</c:v>
                </c:pt>
              </c:numCache>
            </c:numRef>
          </c:val>
          <c:smooth val="0"/>
          <c:extLst>
            <c:ext xmlns:c16="http://schemas.microsoft.com/office/drawing/2014/chart" uri="{C3380CC4-5D6E-409C-BE32-E72D297353CC}">
              <c16:uniqueId val="{00000000-A1A3-4762-9CE2-E5001E6FC010}"/>
            </c:ext>
          </c:extLst>
        </c:ser>
        <c:dLbls>
          <c:showLegendKey val="0"/>
          <c:showVal val="0"/>
          <c:showCatName val="0"/>
          <c:showSerName val="0"/>
          <c:showPercent val="0"/>
          <c:showBubbleSize val="0"/>
        </c:dLbls>
        <c:smooth val="0"/>
        <c:axId val="2117761455"/>
        <c:axId val="2117760623"/>
      </c:lineChart>
      <c:catAx>
        <c:axId val="21177614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117760623"/>
        <c:crosses val="autoZero"/>
        <c:auto val="1"/>
        <c:lblAlgn val="ctr"/>
        <c:lblOffset val="100"/>
        <c:noMultiLvlLbl val="0"/>
      </c:catAx>
      <c:valAx>
        <c:axId val="2117760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1177614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2"/>
              </a:solidFill>
              <a:round/>
            </a:ln>
            <a:effectLst/>
          </c:spPr>
          <c:marker>
            <c:symbol val="none"/>
          </c:marker>
          <c:cat>
            <c:numRef>
              <c:f>Sheet2!$D$30:$D$41</c:f>
              <c:numCache>
                <c:formatCode>mmm\-yy</c:formatCode>
                <c:ptCount val="12"/>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numCache>
            </c:numRef>
          </c:cat>
          <c:val>
            <c:numRef>
              <c:f>Sheet2!$E$30:$E$41</c:f>
              <c:numCache>
                <c:formatCode>General</c:formatCode>
                <c:ptCount val="12"/>
                <c:pt idx="0">
                  <c:v>1</c:v>
                </c:pt>
                <c:pt idx="1">
                  <c:v>2</c:v>
                </c:pt>
                <c:pt idx="2">
                  <c:v>7</c:v>
                </c:pt>
                <c:pt idx="3">
                  <c:v>49</c:v>
                </c:pt>
                <c:pt idx="4">
                  <c:v>200</c:v>
                </c:pt>
                <c:pt idx="5">
                  <c:v>309</c:v>
                </c:pt>
                <c:pt idx="6">
                  <c:v>747</c:v>
                </c:pt>
                <c:pt idx="7">
                  <c:v>1091</c:v>
                </c:pt>
                <c:pt idx="8">
                  <c:v>542</c:v>
                </c:pt>
                <c:pt idx="9">
                  <c:v>145</c:v>
                </c:pt>
                <c:pt idx="10">
                  <c:v>2</c:v>
                </c:pt>
                <c:pt idx="11">
                  <c:v>1</c:v>
                </c:pt>
              </c:numCache>
            </c:numRef>
          </c:val>
          <c:smooth val="0"/>
          <c:extLst>
            <c:ext xmlns:c16="http://schemas.microsoft.com/office/drawing/2014/chart" uri="{C3380CC4-5D6E-409C-BE32-E72D297353CC}">
              <c16:uniqueId val="{00000000-3D09-480E-8BC1-DE3BAB9894B8}"/>
            </c:ext>
          </c:extLst>
        </c:ser>
        <c:dLbls>
          <c:showLegendKey val="0"/>
          <c:showVal val="0"/>
          <c:showCatName val="0"/>
          <c:showSerName val="0"/>
          <c:showPercent val="0"/>
          <c:showBubbleSize val="0"/>
        </c:dLbls>
        <c:smooth val="0"/>
        <c:axId val="2021483599"/>
        <c:axId val="2021472367"/>
      </c:lineChart>
      <c:dateAx>
        <c:axId val="2021483599"/>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21472367"/>
        <c:crosses val="autoZero"/>
        <c:auto val="1"/>
        <c:lblOffset val="100"/>
        <c:baseTimeUnit val="months"/>
      </c:dateAx>
      <c:valAx>
        <c:axId val="20214723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214835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6"/>
              </a:solidFill>
              <a:round/>
            </a:ln>
            <a:effectLst/>
          </c:spPr>
          <c:marker>
            <c:symbol val="none"/>
          </c:marker>
          <c:cat>
            <c:numRef>
              <c:f>[tbl_sub.xlsx]Sheet1!$E$1:$E$10</c:f>
              <c:numCache>
                <c:formatCode>mmm\-yy</c:formatCode>
                <c:ptCount val="10"/>
                <c:pt idx="0">
                  <c:v>43831</c:v>
                </c:pt>
                <c:pt idx="1">
                  <c:v>43862</c:v>
                </c:pt>
                <c:pt idx="2">
                  <c:v>43891</c:v>
                </c:pt>
                <c:pt idx="3">
                  <c:v>43922</c:v>
                </c:pt>
                <c:pt idx="4">
                  <c:v>43952</c:v>
                </c:pt>
                <c:pt idx="5">
                  <c:v>43983</c:v>
                </c:pt>
                <c:pt idx="6">
                  <c:v>44013</c:v>
                </c:pt>
                <c:pt idx="7">
                  <c:v>44044</c:v>
                </c:pt>
                <c:pt idx="8">
                  <c:v>44075</c:v>
                </c:pt>
                <c:pt idx="9">
                  <c:v>44105</c:v>
                </c:pt>
              </c:numCache>
            </c:numRef>
          </c:cat>
          <c:val>
            <c:numRef>
              <c:f>[tbl_sub.xlsx]Sheet1!$F$1:$F$10</c:f>
              <c:numCache>
                <c:formatCode>General</c:formatCode>
                <c:ptCount val="10"/>
                <c:pt idx="0">
                  <c:v>3</c:v>
                </c:pt>
                <c:pt idx="1">
                  <c:v>7</c:v>
                </c:pt>
                <c:pt idx="2">
                  <c:v>7</c:v>
                </c:pt>
                <c:pt idx="3">
                  <c:v>65</c:v>
                </c:pt>
                <c:pt idx="4">
                  <c:v>202</c:v>
                </c:pt>
                <c:pt idx="5">
                  <c:v>318</c:v>
                </c:pt>
                <c:pt idx="6">
                  <c:v>674</c:v>
                </c:pt>
                <c:pt idx="7">
                  <c:v>1155</c:v>
                </c:pt>
                <c:pt idx="8">
                  <c:v>545</c:v>
                </c:pt>
                <c:pt idx="9">
                  <c:v>176</c:v>
                </c:pt>
              </c:numCache>
            </c:numRef>
          </c:val>
          <c:smooth val="0"/>
          <c:extLst>
            <c:ext xmlns:c16="http://schemas.microsoft.com/office/drawing/2014/chart" uri="{C3380CC4-5D6E-409C-BE32-E72D297353CC}">
              <c16:uniqueId val="{00000000-CEEC-4267-9C8D-A6D1532692EC}"/>
            </c:ext>
          </c:extLst>
        </c:ser>
        <c:dLbls>
          <c:showLegendKey val="0"/>
          <c:showVal val="0"/>
          <c:showCatName val="0"/>
          <c:showSerName val="0"/>
          <c:showPercent val="0"/>
          <c:showBubbleSize val="0"/>
        </c:dLbls>
        <c:smooth val="0"/>
        <c:axId val="147661743"/>
        <c:axId val="147662159"/>
      </c:lineChart>
      <c:dateAx>
        <c:axId val="147661743"/>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7662159"/>
        <c:crosses val="autoZero"/>
        <c:auto val="1"/>
        <c:lblOffset val="100"/>
        <c:baseTimeUnit val="months"/>
      </c:dateAx>
      <c:valAx>
        <c:axId val="147662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766174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2</Pages>
  <Words>211</Words>
  <Characters>1203</Characters>
  <Application>Microsoft Office Word</Application>
  <DocSecurity>0</DocSecurity>
  <Lines>10</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Mengrui</dc:creator>
  <cp:keywords/>
  <dc:description/>
  <cp:lastModifiedBy>SU Mengrui</cp:lastModifiedBy>
  <cp:revision>3</cp:revision>
  <dcterms:created xsi:type="dcterms:W3CDTF">2021-02-06T05:21:00Z</dcterms:created>
  <dcterms:modified xsi:type="dcterms:W3CDTF">2021-02-06T11:48:00Z</dcterms:modified>
</cp:coreProperties>
</file>