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JULES CRESTMOOR</w:t>
      </w:r>
    </w:p>
    <w:p>
      <w:pPr>
        <w:spacing w:after="0" w:before="0"/>
      </w:pPr>
      <w:r>
        <w:rPr>
          <w:b w:val="0"/>
          <w:i w:val="0"/>
          <w:sz w:val="18"/>
        </w:rPr>
        <w:t>Middlebury, VT | jules.crestmoor@example.com | (404) 555-0182 | linkedin.com/in/julescrestmoor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Middlebury College</w:t>
        <w:tab/>
        <w:t>Middlebury, VT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BBA, Journalism</w:t>
        <w:tab/>
        <w:t>Class of 2027</w:t>
      </w:r>
    </w:p>
    <w:p>
      <w:pPr>
        <w:spacing w:after="0" w:before="0"/>
      </w:pPr>
      <w:r>
        <w:rPr>
          <w:b w:val="0"/>
          <w:i w:val="0"/>
          <w:sz w:val="20"/>
        </w:rPr>
        <w:t>GPA: 3.39/4.0 | Dean's List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Procter &amp; Gamble</w:t>
        <w:tab/>
        <w:t>Cincinnati,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Social Media Intern</w:t>
        <w:tab/>
        <w:t>Jun.–Aug.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Nike</w:t>
        <w:tab/>
        <w:t>Beaverton, OR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Brand Management Intern</w:t>
        <w:tab/>
        <w:t>06/2025 – 08/2025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competitor tracker covering 14 brands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Campus Recreation Center</w:t>
        <w:tab/>
        <w:t>Middlebury, VT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Part-Time Front Office Assistant</w:t>
        <w:tab/>
        <w:t>2025 –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Middlebury College Pre-Health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Treasurer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Net Impact Case Competition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Finalist</w:t>
        <w:tab/>
        <w:t>Feb. 2025 – Feb.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Skills: SEO, Adobe Photoshop, Canva, Excel, Google Analytics, HubSpot, Mailchimp, Kanban</w:t>
      </w:r>
    </w:p>
    <w:p>
      <w:pPr>
        <w:spacing w:after="0" w:before="0"/>
      </w:pPr>
      <w:r>
        <w:rPr>
          <w:b w:val="0"/>
          <w:i w:val="0"/>
          <w:sz w:val="20"/>
        </w:rPr>
        <w:t>Certifications: HubSpot Inbound Marketing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