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Marlowe Rookwood</w:t>
      </w:r>
    </w:p>
    <w:p>
      <w:pPr>
        <w:spacing w:after="0" w:before="0"/>
      </w:pPr>
      <w:r>
        <w:rPr>
          <w:b w:val="0"/>
          <w:i w:val="0"/>
          <w:sz w:val="18"/>
        </w:rPr>
        <w:t>Seattle, WA | marlowe.rookwood@example.com | (206) 555-0171 | linkedin.com/in/marlowerookwood</w:t>
      </w:r>
    </w:p>
    <w:p>
      <w:pPr>
        <w:spacing w:after="0" w:before="0"/>
      </w:pPr>
      <w:r>
        <w:rPr>
          <w:b/>
          <w:i w:val="0"/>
          <w:sz w:val="22"/>
        </w:rPr>
        <w:t>ACADEMIC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December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Washington, Seattle, WA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B.S., Nursing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3.83/4.0 | Dean's List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Financial Accounting, Organic Chemistry, Public Policy Analysis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2026 – Aug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Cleveland Clinic, Cleveland, OH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Nursing Extern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Assisted nurses with turns, ambulation and hygiene for post-op patients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an SPSS dataset for a survey of 600 students on sleep habits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Screened 140 participants for a cardiology trial and kept 98% data accuracy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May 2024 – Aug 2024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YMCA, Seattle, WA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Lifeguard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January 2026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Washington Department of Mathematics, Seattle, WA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Teaching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ACTIVITIES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September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Washington Debate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Member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2024 – May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Washington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Member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August 2023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Army ROTC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Cadet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Completed leadership training with a 30-cadet platoon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EMR, Patient Care, Excel, SPSS, Microsoft Office</w:t>
      </w:r>
    </w:p>
    <w:p>
      <w:pPr>
        <w:spacing w:after="0" w:before="0"/>
      </w:pPr>
      <w:r>
        <w:rPr>
          <w:b w:val="0"/>
          <w:i w:val="0"/>
          <w:sz w:val="20"/>
        </w:rPr>
        <w:t>Certifications: CPR, CITI Human Subjects Research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