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Arial" w:hAnsi="Arial" w:eastAsia="等线"/>
          <w:b/>
          <w:color w:val="000000"/>
          <w:sz w:val="32"/>
        </w:rPr>
        <w:t>论文大纲：面向复杂曲面与关节装配耦合的机械臂多模态参数化CAD生成Benchmark</w:t>
      </w:r>
    </w:p>
    <w:p>
      <w:pPr>
        <w:spacing w:after="280"/>
        <w:jc w:val="center"/>
      </w:pPr>
      <w:r>
        <w:rPr>
          <w:rFonts w:ascii="Arial" w:hAnsi="Arial" w:eastAsia="等线"/>
          <w:b w:val="0"/>
          <w:color w:val="000000"/>
          <w:sz w:val="23"/>
        </w:rPr>
        <w:t>研究定位、数据集、方法、实验与推进计划</w:t>
      </w:r>
    </w:p>
    <w:p>
      <w:pPr>
        <w:pStyle w:val="Heading1"/>
        <w:spacing w:before="160" w:after="80"/>
      </w:pPr>
      <w:r>
        <w:rPr>
          <w:rFonts w:ascii="Arial" w:hAnsi="Arial" w:eastAsia="等线"/>
          <w:b/>
          <w:color w:val="000000"/>
          <w:sz w:val="28"/>
        </w:rPr>
        <w:t>一、论文核心定位</w:t>
      </w:r>
    </w:p>
    <w:p>
      <w:pPr>
        <w:spacing w:after="60" w:line="300" w:lineRule="auto"/>
        <w:ind w:left="0"/>
      </w:pPr>
      <w:r>
        <w:rPr>
          <w:rFonts w:ascii="Arial" w:hAnsi="Arial" w:eastAsia="等线"/>
          <w:b w:val="0"/>
          <w:color w:val="000000"/>
          <w:sz w:val="21"/>
        </w:rPr>
        <w:t>论文不以“机械臂领域生成得比通用CAD工具更像”为唯一目标，而是以机械臂作为“复杂曲面 + 严格关节装配关系”同时存在的代表性工程对象，研究当前AI CAD系统在这两个复杂度维度上的系统性退化，并提出结构优先、接口优先、曲面感知的生成方法。</w:t>
      </w:r>
    </w:p>
    <w:p>
      <w:pPr>
        <w:spacing w:after="60" w:line="300" w:lineRule="auto"/>
        <w:ind w:left="0"/>
      </w:pPr>
      <w:r>
        <w:rPr>
          <w:rFonts w:ascii="Arial" w:hAnsi="Arial" w:eastAsia="等线"/>
          <w:b w:val="0"/>
          <w:color w:val="000000"/>
          <w:sz w:val="21"/>
        </w:rPr>
        <w:t>建议暂定英文定位：RoboCAD-Bench: Benchmarking Parametric CAD Generation under Coupled Surface and Articulated Assembly Complexity。</w:t>
      </w:r>
    </w:p>
    <w:p>
      <w:pPr>
        <w:spacing w:after="60" w:line="300" w:lineRule="auto"/>
        <w:ind w:left="0"/>
      </w:pPr>
      <w:r>
        <w:rPr>
          <w:rFonts w:ascii="Arial" w:hAnsi="Arial" w:eastAsia="等线"/>
          <w:b w:val="0"/>
          <w:color w:val="000000"/>
          <w:sz w:val="21"/>
        </w:rPr>
        <w:t>建议中文定位：面向复杂曲面与关节装配耦合的机械臂多模态参数化CAD生成Benchmark。</w:t>
      </w:r>
    </w:p>
    <w:p>
      <w:pPr>
        <w:pStyle w:val="Heading1"/>
        <w:spacing w:before="160" w:after="80"/>
      </w:pPr>
      <w:r>
        <w:rPr>
          <w:rFonts w:ascii="Arial" w:hAnsi="Arial" w:eastAsia="等线"/>
          <w:b/>
          <w:color w:val="000000"/>
          <w:sz w:val="28"/>
        </w:rPr>
        <w:t>二、核心科学问题与研究假设</w:t>
      </w:r>
    </w:p>
    <w:p>
      <w:pPr>
        <w:pStyle w:val="ListBullet"/>
        <w:spacing w:after="40" w:line="288" w:lineRule="auto"/>
        <w:ind w:left="369" w:hanging="142"/>
      </w:pPr>
      <w:r>
        <w:rPr>
          <w:rFonts w:ascii="Arial" w:hAnsi="Arial" w:eastAsia="等线"/>
          <w:b w:val="0"/>
          <w:color w:val="000000"/>
          <w:sz w:val="21"/>
        </w:rPr>
        <w:t>RQ1：现有SOTA在机械臂CAD生成中，主要瓶颈来自零件几何还是装配/运动关系？</w:t>
      </w:r>
    </w:p>
    <w:p>
      <w:pPr>
        <w:pStyle w:val="ListBullet"/>
        <w:spacing w:after="40" w:line="288" w:lineRule="auto"/>
        <w:ind w:left="369" w:hanging="142"/>
      </w:pPr>
      <w:r>
        <w:rPr>
          <w:rFonts w:ascii="Arial" w:hAnsi="Arial" w:eastAsia="等线"/>
          <w:b w:val="0"/>
          <w:color w:val="000000"/>
          <w:sz w:val="21"/>
        </w:rPr>
        <w:t>RQ2：随着复杂曲面比例和曲面拓扑复杂度提高，现有程序化CAD Agent的几何重建质量是否显著下降？</w:t>
      </w:r>
    </w:p>
    <w:p>
      <w:pPr>
        <w:pStyle w:val="ListBullet"/>
        <w:spacing w:after="40" w:line="288" w:lineRule="auto"/>
        <w:ind w:left="369" w:hanging="142"/>
      </w:pPr>
      <w:r>
        <w:rPr>
          <w:rFonts w:ascii="Arial" w:hAnsi="Arial" w:eastAsia="等线"/>
          <w:b w:val="0"/>
          <w:color w:val="000000"/>
          <w:sz w:val="21"/>
        </w:rPr>
        <w:t>RQ3：随着link/joint数量、运动链深度和接口数量增加，装配正确率是否显著下降？</w:t>
      </w:r>
    </w:p>
    <w:p>
      <w:pPr>
        <w:pStyle w:val="ListBullet"/>
        <w:spacing w:after="40" w:line="288" w:lineRule="auto"/>
        <w:ind w:left="369" w:hanging="142"/>
      </w:pPr>
      <w:r>
        <w:rPr>
          <w:rFonts w:ascii="Arial" w:hAnsi="Arial" w:eastAsia="等线"/>
          <w:b w:val="0"/>
          <w:color w:val="000000"/>
          <w:sz w:val="21"/>
        </w:rPr>
        <w:t>RQ4：曲面复杂度与装配复杂度同时提高时，是否出现超过单因素叠加的复合退化？</w:t>
      </w:r>
    </w:p>
    <w:p>
      <w:pPr>
        <w:pStyle w:val="ListBullet"/>
        <w:spacing w:after="40" w:line="288" w:lineRule="auto"/>
        <w:ind w:left="369" w:hanging="142"/>
      </w:pPr>
      <w:r>
        <w:rPr>
          <w:rFonts w:ascii="Arial" w:hAnsi="Arial" w:eastAsia="等线"/>
          <w:b w:val="0"/>
          <w:color w:val="000000"/>
          <w:sz w:val="21"/>
        </w:rPr>
        <w:t>RQ5：Kinematic-first + Interface-first + Surface-aware工作流能否同时提升复杂曲面几何和关节装配正确性？</w:t>
      </w:r>
    </w:p>
    <w:p>
      <w:pPr>
        <w:spacing w:after="60" w:line="300" w:lineRule="auto"/>
        <w:ind w:left="0"/>
      </w:pPr>
      <w:r>
        <w:rPr>
          <w:rFonts w:ascii="Arial" w:hAnsi="Arial" w:eastAsia="等线"/>
          <w:b w:val="0"/>
          <w:color w:val="000000"/>
          <w:sz w:val="21"/>
        </w:rPr>
        <w:t>核心假设：H1 装配复杂度越高，当前AI CAD系统的装配图、关节参数与多姿态一致性越差；H2 曲面复杂度越高，几何保真度越差；H3 两种复杂度存在交互效应；H4 先规划运动链与功能接口、再生成复杂曲面主体，可以降低两类错误。</w:t>
      </w:r>
    </w:p>
    <w:p>
      <w:pPr>
        <w:pStyle w:val="Heading1"/>
        <w:spacing w:before="160" w:after="80"/>
      </w:pPr>
      <w:r>
        <w:rPr>
          <w:rFonts w:ascii="Arial" w:hAnsi="Arial" w:eastAsia="等线"/>
          <w:b/>
          <w:color w:val="000000"/>
          <w:sz w:val="28"/>
        </w:rPr>
        <w:t>三、研究范围与边界</w:t>
      </w:r>
    </w:p>
    <w:p>
      <w:pPr>
        <w:pStyle w:val="ListBullet"/>
        <w:spacing w:after="40" w:line="288" w:lineRule="auto"/>
        <w:ind w:left="369" w:hanging="142"/>
      </w:pPr>
      <w:r>
        <w:rPr>
          <w:rFonts w:ascii="Arial" w:hAnsi="Arial" w:eastAsia="等线"/>
          <w:b w:val="0"/>
          <w:color w:val="000000"/>
          <w:sz w:val="21"/>
        </w:rPr>
        <w:t>对象：以固定基座的开链串联机械臂为主，优先覆盖3-7自由度、revolute joint为主、少量prismatic joint。</w:t>
      </w:r>
    </w:p>
    <w:p>
      <w:pPr>
        <w:pStyle w:val="ListBullet"/>
        <w:spacing w:after="40" w:line="288" w:lineRule="auto"/>
        <w:ind w:left="369" w:hanging="142"/>
      </w:pPr>
      <w:r>
        <w:rPr>
          <w:rFonts w:ascii="Arial" w:hAnsi="Arial" w:eastAsia="等线"/>
          <w:b w:val="0"/>
          <w:color w:val="000000"/>
          <w:sz w:val="21"/>
        </w:rPr>
        <w:t>暂不纳入：并联机构、闭环机构、柔性体、电缆走线、复杂动力学、完整FEA和制造工艺优化。</w:t>
      </w:r>
    </w:p>
    <w:p>
      <w:pPr>
        <w:pStyle w:val="ListBullet"/>
        <w:spacing w:after="40" w:line="288" w:lineRule="auto"/>
        <w:ind w:left="369" w:hanging="142"/>
      </w:pPr>
      <w:r>
        <w:rPr>
          <w:rFonts w:ascii="Arial" w:hAnsi="Arial" w:eastAsia="等线"/>
          <w:b w:val="0"/>
          <w:color w:val="000000"/>
          <w:sz w:val="21"/>
        </w:rPr>
        <w:t>任务：Text-only、Multi-view Image-only、Text + Image三种条件下生成参数化CAD装配体；Mesh输入可作为高信息上界实验，不作为主赛道。</w:t>
      </w:r>
    </w:p>
    <w:p>
      <w:pPr>
        <w:pStyle w:val="ListBullet"/>
        <w:spacing w:after="40" w:line="288" w:lineRule="auto"/>
        <w:ind w:left="369" w:hanging="142"/>
      </w:pPr>
      <w:r>
        <w:rPr>
          <w:rFonts w:ascii="Arial" w:hAnsi="Arial" w:eastAsia="等线"/>
          <w:b w:val="0"/>
          <w:color w:val="000000"/>
          <w:sz w:val="21"/>
        </w:rPr>
        <w:t>输出：独立link参数化CAD、整机装配体、运动链/关节定义、STEP/STL或等价格式，以及可选URDF和CAD-URDF映射。</w:t>
      </w:r>
    </w:p>
    <w:p>
      <w:pPr>
        <w:pStyle w:val="ListBullet"/>
        <w:spacing w:after="40" w:line="288" w:lineRule="auto"/>
        <w:ind w:left="369" w:hanging="142"/>
      </w:pPr>
      <w:r>
        <w:rPr>
          <w:rFonts w:ascii="Arial" w:hAnsi="Arial" w:eastAsia="等线"/>
          <w:b w:val="0"/>
          <w:color w:val="000000"/>
          <w:sz w:val="21"/>
        </w:rPr>
        <w:t>评价原则：主评价尽量完全确定性，不依赖AI Judge；视觉主观评分仅可作为补充，不进入主结果。</w:t>
      </w:r>
    </w:p>
    <w:p>
      <w:pPr>
        <w:pStyle w:val="Heading1"/>
        <w:spacing w:before="160" w:after="80"/>
      </w:pPr>
      <w:r>
        <w:rPr>
          <w:rFonts w:ascii="Arial" w:hAnsi="Arial" w:eastAsia="等线"/>
          <w:b/>
          <w:color w:val="000000"/>
          <w:sz w:val="28"/>
        </w:rPr>
        <w:t>四、论文叙事结构</w:t>
      </w:r>
    </w:p>
    <w:p>
      <w:pPr>
        <w:pStyle w:val="ListNumber"/>
        <w:spacing w:after="40" w:line="288" w:lineRule="auto"/>
        <w:ind w:left="369" w:hanging="142"/>
      </w:pPr>
      <w:r>
        <w:rPr>
          <w:rFonts w:ascii="Arial" w:hAnsi="Arial" w:eastAsia="等线"/>
          <w:b w:val="0"/>
          <w:color w:val="000000"/>
          <w:sz w:val="21"/>
        </w:rPr>
        <w:t>背景：AI CAD从单零件生成逐步扩展到装配体与关节式对象，但复杂机械装配仍是显著弱项。</w:t>
      </w:r>
    </w:p>
    <w:p>
      <w:pPr>
        <w:pStyle w:val="ListNumber"/>
        <w:spacing w:after="40" w:line="288" w:lineRule="auto"/>
        <w:ind w:left="369" w:hanging="142"/>
      </w:pPr>
      <w:r>
        <w:rPr>
          <w:rFonts w:ascii="Arial" w:hAnsi="Arial" w:eastAsia="等线"/>
          <w:b w:val="0"/>
          <w:color w:val="000000"/>
          <w:sz w:val="21"/>
        </w:rPr>
        <w:t>问题1：通用程序化CAD方法更擅长规则primitive/extrude/revolve，对loft、sweep、BSpline、复杂blend等高曲率连续曲面支持不足。</w:t>
      </w:r>
    </w:p>
    <w:p>
      <w:pPr>
        <w:pStyle w:val="ListNumber"/>
        <w:spacing w:after="40" w:line="288" w:lineRule="auto"/>
        <w:ind w:left="369" w:hanging="142"/>
      </w:pPr>
      <w:r>
        <w:rPr>
          <w:rFonts w:ascii="Arial" w:hAnsi="Arial" w:eastAsia="等线"/>
          <w:b w:val="0"/>
          <w:color w:val="000000"/>
          <w:sz w:val="21"/>
        </w:rPr>
        <w:t>问题2：关节式机械装配不仅要求零件位置合理，还要求link-joint拓扑、joint axis、origin、limit和多姿态运动一致。</w:t>
      </w:r>
    </w:p>
    <w:p>
      <w:pPr>
        <w:pStyle w:val="ListNumber"/>
        <w:spacing w:after="40" w:line="288" w:lineRule="auto"/>
        <w:ind w:left="369" w:hanging="142"/>
      </w:pPr>
      <w:r>
        <w:rPr>
          <w:rFonts w:ascii="Arial" w:hAnsi="Arial" w:eastAsia="等线"/>
          <w:b w:val="0"/>
          <w:color w:val="000000"/>
          <w:sz w:val="21"/>
        </w:rPr>
        <w:t>关键观察：机械臂同时具有高几何复杂度和严格运动学结构，是研究两类瓶颈耦合的理想工程域。</w:t>
      </w:r>
    </w:p>
    <w:p>
      <w:pPr>
        <w:pStyle w:val="ListNumber"/>
        <w:spacing w:after="40" w:line="288" w:lineRule="auto"/>
        <w:ind w:left="369" w:hanging="142"/>
      </w:pPr>
      <w:r>
        <w:rPr>
          <w:rFonts w:ascii="Arial" w:hAnsi="Arial" w:eastAsia="等线"/>
          <w:b w:val="0"/>
          <w:color w:val="000000"/>
          <w:sz w:val="21"/>
        </w:rPr>
        <w:t>Benchmark贡献：构建具有精确B-Rep曲面真值、分link真值、装配图/关节真值和多姿态真值的受控测试集。</w:t>
      </w:r>
    </w:p>
    <w:p>
      <w:pPr>
        <w:pStyle w:val="ListNumber"/>
        <w:spacing w:after="40" w:line="288" w:lineRule="auto"/>
        <w:ind w:left="369" w:hanging="142"/>
      </w:pPr>
      <w:r>
        <w:rPr>
          <w:rFonts w:ascii="Arial" w:hAnsi="Arial" w:eastAsia="等线"/>
          <w:b w:val="0"/>
          <w:color w:val="000000"/>
          <w:sz w:val="21"/>
        </w:rPr>
        <w:t>方法贡献：提出Kinematic-first、Interface-first、Surface-aware、Deterministic Assembly和Dual Feedback的机械臂专用生成流程。</w:t>
      </w:r>
    </w:p>
    <w:p>
      <w:pPr>
        <w:pStyle w:val="ListNumber"/>
        <w:spacing w:after="40" w:line="288" w:lineRule="auto"/>
        <w:ind w:left="369" w:hanging="142"/>
      </w:pPr>
      <w:r>
        <w:rPr>
          <w:rFonts w:ascii="Arial" w:hAnsi="Arial" w:eastAsia="等线"/>
          <w:b w:val="0"/>
          <w:color w:val="000000"/>
          <w:sz w:val="21"/>
        </w:rPr>
        <w:t>结论：系统性揭示SOTA在Surface × Assembly二维复杂度空间中的能力边界，并证明专用方法在高复杂度区域显著改善。</w:t>
      </w:r>
    </w:p>
    <w:p>
      <w:pPr>
        <w:pStyle w:val="Heading1"/>
        <w:spacing w:before="160" w:after="80"/>
      </w:pPr>
      <w:r>
        <w:rPr>
          <w:rFonts w:ascii="Arial" w:hAnsi="Arial" w:eastAsia="等线"/>
          <w:b/>
          <w:color w:val="000000"/>
          <w:sz w:val="28"/>
        </w:rPr>
        <w:t>五、相关工作组织方式</w:t>
      </w:r>
    </w:p>
    <w:p>
      <w:pPr>
        <w:pStyle w:val="Heading2"/>
        <w:spacing w:before="100" w:after="80"/>
      </w:pPr>
      <w:r>
        <w:rPr>
          <w:rFonts w:ascii="Arial" w:hAnsi="Arial" w:eastAsia="等线"/>
          <w:b/>
          <w:color w:val="000000"/>
          <w:sz w:val="25"/>
        </w:rPr>
        <w:t>5.1 通用参数化CAD生成与Benchmark</w:t>
      </w:r>
    </w:p>
    <w:p>
      <w:pPr>
        <w:pStyle w:val="ListBullet"/>
        <w:spacing w:after="40" w:line="288" w:lineRule="auto"/>
        <w:ind w:left="369" w:hanging="142"/>
      </w:pPr>
      <w:r>
        <w:rPr>
          <w:rFonts w:ascii="Arial" w:hAnsi="Arial" w:eastAsia="等线"/>
          <w:b w:val="0"/>
          <w:color w:val="000000"/>
          <w:sz w:val="21"/>
        </w:rPr>
        <w:t>Text/Image/Mesh-to-CAD、CAD程序生成、B-Rep生成、通用Agentic CAD。</w:t>
      </w:r>
    </w:p>
    <w:p>
      <w:pPr>
        <w:pStyle w:val="ListBullet"/>
        <w:spacing w:after="40" w:line="288" w:lineRule="auto"/>
        <w:ind w:left="369" w:hanging="142"/>
      </w:pPr>
      <w:r>
        <w:rPr>
          <w:rFonts w:ascii="Arial" w:hAnsi="Arial" w:eastAsia="等线"/>
          <w:b w:val="0"/>
          <w:color w:val="000000"/>
          <w:sz w:val="21"/>
        </w:rPr>
        <w:t>重点讨论其几何评价、可执行性评价以及对复杂曲面的能力边界。</w:t>
      </w:r>
    </w:p>
    <w:p>
      <w:pPr>
        <w:pStyle w:val="Heading2"/>
        <w:spacing w:before="100" w:after="80"/>
      </w:pPr>
      <w:r>
        <w:rPr>
          <w:rFonts w:ascii="Arial" w:hAnsi="Arial" w:eastAsia="等线"/>
          <w:b/>
          <w:color w:val="000000"/>
          <w:sz w:val="25"/>
        </w:rPr>
        <w:t>5.2 装配体与关节式CAD生成</w:t>
      </w:r>
    </w:p>
    <w:p>
      <w:pPr>
        <w:pStyle w:val="ListBullet"/>
        <w:spacing w:after="40" w:line="288" w:lineRule="auto"/>
        <w:ind w:left="369" w:hanging="142"/>
      </w:pPr>
      <w:r>
        <w:rPr>
          <w:rFonts w:ascii="Arial" w:hAnsi="Arial" w:eastAsia="等线"/>
          <w:b w:val="0"/>
          <w:color w:val="000000"/>
          <w:sz w:val="21"/>
        </w:rPr>
        <w:t>装配体分解、connector/port/mate、joint建模、URDF或可动资产生成。</w:t>
      </w:r>
    </w:p>
    <w:p>
      <w:pPr>
        <w:pStyle w:val="ListBullet"/>
        <w:spacing w:after="40" w:line="288" w:lineRule="auto"/>
        <w:ind w:left="369" w:hanging="142"/>
      </w:pPr>
      <w:r>
        <w:rPr>
          <w:rFonts w:ascii="Arial" w:hAnsi="Arial" w:eastAsia="等线"/>
          <w:b w:val="0"/>
          <w:color w:val="000000"/>
          <w:sz w:val="21"/>
        </w:rPr>
        <w:t>重点指出“几何像”与“装配/运动关系正确”之间的差距。</w:t>
      </w:r>
    </w:p>
    <w:p>
      <w:pPr>
        <w:pStyle w:val="Heading2"/>
        <w:spacing w:before="100" w:after="80"/>
      </w:pPr>
      <w:r>
        <w:rPr>
          <w:rFonts w:ascii="Arial" w:hAnsi="Arial" w:eastAsia="等线"/>
          <w:b/>
          <w:color w:val="000000"/>
          <w:sz w:val="25"/>
        </w:rPr>
        <w:t>5.3 复杂曲面与NURBS CAD生成</w:t>
      </w:r>
    </w:p>
    <w:p>
      <w:pPr>
        <w:pStyle w:val="ListBullet"/>
        <w:spacing w:after="40" w:line="288" w:lineRule="auto"/>
        <w:ind w:left="369" w:hanging="142"/>
      </w:pPr>
      <w:r>
        <w:rPr>
          <w:rFonts w:ascii="Arial" w:hAnsi="Arial" w:eastAsia="等线"/>
          <w:b w:val="0"/>
          <w:color w:val="000000"/>
          <w:sz w:val="21"/>
        </w:rPr>
        <w:t>NURBS、BSpline、loft/sweep和混合解析曲面表示。</w:t>
      </w:r>
    </w:p>
    <w:p>
      <w:pPr>
        <w:pStyle w:val="ListBullet"/>
        <w:spacing w:after="40" w:line="288" w:lineRule="auto"/>
        <w:ind w:left="369" w:hanging="142"/>
      </w:pPr>
      <w:r>
        <w:rPr>
          <w:rFonts w:ascii="Arial" w:hAnsi="Arial" w:eastAsia="等线"/>
          <w:b w:val="0"/>
          <w:color w:val="000000"/>
          <w:sz w:val="21"/>
        </w:rPr>
        <w:t>强调现有工作多聚焦单零件或曲面本身，缺少与严格机械装配/运动约束的统一研究。</w:t>
      </w:r>
    </w:p>
    <w:p>
      <w:pPr>
        <w:pStyle w:val="Heading2"/>
        <w:spacing w:before="100" w:after="80"/>
      </w:pPr>
      <w:r>
        <w:rPr>
          <w:rFonts w:ascii="Arial" w:hAnsi="Arial" w:eastAsia="等线"/>
          <w:b/>
          <w:color w:val="000000"/>
          <w:sz w:val="25"/>
        </w:rPr>
        <w:t>5.4 机器人/机械臂数字模型与URDF</w:t>
      </w:r>
    </w:p>
    <w:p>
      <w:pPr>
        <w:pStyle w:val="ListBullet"/>
        <w:spacing w:after="40" w:line="288" w:lineRule="auto"/>
        <w:ind w:left="369" w:hanging="142"/>
      </w:pPr>
      <w:r>
        <w:rPr>
          <w:rFonts w:ascii="Arial" w:hAnsi="Arial" w:eastAsia="等线"/>
          <w:b w:val="0"/>
          <w:color w:val="000000"/>
          <w:sz w:val="21"/>
        </w:rPr>
        <w:t>link-joint表示、joint axis/origin/limit、visual/collision mesh。</w:t>
      </w:r>
    </w:p>
    <w:p>
      <w:pPr>
        <w:pStyle w:val="ListBullet"/>
        <w:spacing w:after="40" w:line="288" w:lineRule="auto"/>
        <w:ind w:left="369" w:hanging="142"/>
      </w:pPr>
      <w:r>
        <w:rPr>
          <w:rFonts w:ascii="Arial" w:hAnsi="Arial" w:eastAsia="等线"/>
          <w:b w:val="0"/>
          <w:color w:val="000000"/>
          <w:sz w:val="21"/>
        </w:rPr>
        <w:t>用于说明机械臂拥有天然的结构化、可确定性评价的运动学真值。</w:t>
      </w:r>
    </w:p>
    <w:p>
      <w:pPr>
        <w:pStyle w:val="Heading1"/>
        <w:spacing w:before="160" w:after="80"/>
      </w:pPr>
      <w:r>
        <w:rPr>
          <w:rFonts w:ascii="Arial" w:hAnsi="Arial" w:eastAsia="等线"/>
          <w:b/>
          <w:color w:val="000000"/>
          <w:sz w:val="28"/>
        </w:rPr>
        <w:t>六、Benchmark数据集设计</w:t>
      </w:r>
    </w:p>
    <w:p>
      <w:pPr>
        <w:pStyle w:val="Heading2"/>
        <w:spacing w:before="100" w:after="80"/>
      </w:pPr>
      <w:r>
        <w:rPr>
          <w:rFonts w:ascii="Arial" w:hAnsi="Arial" w:eastAsia="等线"/>
          <w:b/>
          <w:color w:val="000000"/>
          <w:sz w:val="25"/>
        </w:rPr>
        <w:t>6.1 数据集总体构成：Real Set + Controlled Set</w:t>
      </w:r>
    </w:p>
    <w:p>
      <w:pPr>
        <w:spacing w:after="60" w:line="300" w:lineRule="auto"/>
        <w:ind w:left="0"/>
      </w:pPr>
      <w:r>
        <w:rPr>
          <w:rFonts w:ascii="Arial" w:hAnsi="Arial" w:eastAsia="等线"/>
          <w:b w:val="0"/>
          <w:color w:val="000000"/>
          <w:sz w:val="21"/>
        </w:rPr>
        <w:t>建议使用“真实机械臂集合 + 可控参数化机械臂集合”的双层设计。真实集合保证工程真实性，可控集合用于因果分离Surface Complexity与Assembly Complexity。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rPr>
          <w:tblHeader w:val="true"/>
        </w:trPr>
        <w:tc>
          <w:tcPr>
            <w:tcW w:type="dxa" w:w="24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after="0" w:line="264" w:lineRule="auto"/>
            </w:pPr>
            <w:r>
              <w:rPr>
                <w:rFonts w:ascii="Arial" w:hAnsi="Arial" w:eastAsia="等线"/>
                <w:b/>
                <w:color w:val="000000"/>
                <w:sz w:val="19"/>
              </w:rPr>
              <w:t>子集</w:t>
            </w:r>
          </w:p>
        </w:tc>
        <w:tc>
          <w:tcPr>
            <w:tcW w:type="dxa" w:w="24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after="0" w:line="264" w:lineRule="auto"/>
            </w:pPr>
            <w:r>
              <w:rPr>
                <w:rFonts w:ascii="Arial" w:hAnsi="Arial" w:eastAsia="等线"/>
                <w:b/>
                <w:color w:val="000000"/>
                <w:sz w:val="19"/>
              </w:rPr>
              <w:t>主要来源</w:t>
            </w:r>
          </w:p>
        </w:tc>
        <w:tc>
          <w:tcPr>
            <w:tcW w:type="dxa" w:w="24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after="0" w:line="264" w:lineRule="auto"/>
            </w:pPr>
            <w:r>
              <w:rPr>
                <w:rFonts w:ascii="Arial" w:hAnsi="Arial" w:eastAsia="等线"/>
                <w:b/>
                <w:color w:val="000000"/>
                <w:sz w:val="19"/>
              </w:rPr>
              <w:t>主要作用</w:t>
            </w:r>
          </w:p>
        </w:tc>
        <w:tc>
          <w:tcPr>
            <w:tcW w:type="dxa" w:w="24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after="0" w:line="264" w:lineRule="auto"/>
            </w:pPr>
            <w:r>
              <w:rPr>
                <w:rFonts w:ascii="Arial" w:hAnsi="Arial" w:eastAsia="等线"/>
                <w:b/>
                <w:color w:val="000000"/>
                <w:sz w:val="19"/>
              </w:rPr>
              <w:t>建议规模</w:t>
            </w:r>
          </w:p>
        </w:tc>
      </w:tr>
      <w:tr>
        <w:tc>
          <w:tcPr>
            <w:tcW w:type="dxa" w:w="24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Real-Robot Set</w:t>
            </w:r>
          </w:p>
        </w:tc>
        <w:tc>
          <w:tcPr>
            <w:tcW w:type="dxa" w:w="24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厂商官方STEP/URDF、许可明确开源资产</w:t>
            </w:r>
          </w:p>
        </w:tc>
        <w:tc>
          <w:tcPr>
            <w:tcW w:type="dxa" w:w="24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真实复杂性、SOTA实测</w:t>
            </w:r>
          </w:p>
        </w:tc>
        <w:tc>
          <w:tcPr>
            <w:tcW w:type="dxa" w:w="24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30-50台</w:t>
            </w:r>
          </w:p>
        </w:tc>
      </w:tr>
      <w:tr>
        <w:tc>
          <w:tcPr>
            <w:tcW w:type="dxa" w:w="24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Controlled Robot Set</w:t>
            </w:r>
          </w:p>
        </w:tc>
        <w:tc>
          <w:tcPr>
            <w:tcW w:type="dxa" w:w="24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自建参数化机械臂family</w:t>
            </w:r>
          </w:p>
        </w:tc>
        <w:tc>
          <w:tcPr>
            <w:tcW w:type="dxa" w:w="24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控制G1-G3与A1-A3复杂度</w:t>
            </w:r>
          </w:p>
        </w:tc>
        <w:tc>
          <w:tcPr>
            <w:tcW w:type="dxa" w:w="24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60-100个变体</w:t>
            </w:r>
          </w:p>
        </w:tc>
      </w:tr>
      <w:tr>
        <w:tc>
          <w:tcPr>
            <w:tcW w:type="dxa" w:w="24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Complex-Surface Part Set</w:t>
            </w:r>
          </w:p>
        </w:tc>
        <w:tc>
          <w:tcPr>
            <w:tcW w:type="dxa" w:w="24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从真实/可控机械臂抽取upper arm、elbow、wrist等高复杂link</w:t>
            </w:r>
          </w:p>
        </w:tc>
        <w:tc>
          <w:tcPr>
            <w:tcW w:type="dxa" w:w="24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单零件曲面诊断</w:t>
            </w:r>
          </w:p>
        </w:tc>
        <w:tc>
          <w:tcPr>
            <w:tcW w:type="dxa" w:w="24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100-200个link</w:t>
            </w:r>
          </w:p>
        </w:tc>
      </w:tr>
    </w:tbl>
    <w:p>
      <w:pPr>
        <w:pStyle w:val="Heading2"/>
        <w:spacing w:before="100" w:after="80"/>
      </w:pPr>
      <w:r>
        <w:rPr>
          <w:rFonts w:ascii="Arial" w:hAnsi="Arial" w:eastAsia="等线"/>
          <w:b/>
          <w:color w:val="000000"/>
          <w:sz w:val="25"/>
        </w:rPr>
        <w:t>6.2 每个机器人样本需要的素材</w:t>
      </w:r>
    </w:p>
    <w:p>
      <w:pPr>
        <w:pStyle w:val="ListBullet"/>
        <w:spacing w:after="40" w:line="288" w:lineRule="auto"/>
        <w:ind w:left="369" w:hanging="142"/>
      </w:pPr>
      <w:r>
        <w:rPr>
          <w:rFonts w:ascii="Arial" w:hAnsi="Arial" w:eastAsia="等线"/>
          <w:b w:val="0"/>
          <w:color w:val="000000"/>
          <w:sz w:val="21"/>
        </w:rPr>
        <w:t>核心几何：assembly.step；最好保留独立零件和装配层级。</w:t>
      </w:r>
    </w:p>
    <w:p>
      <w:pPr>
        <w:pStyle w:val="ListBullet"/>
        <w:spacing w:after="40" w:line="288" w:lineRule="auto"/>
        <w:ind w:left="369" w:hanging="142"/>
      </w:pPr>
      <w:r>
        <w:rPr>
          <w:rFonts w:ascii="Arial" w:hAnsi="Arial" w:eastAsia="等线"/>
          <w:b w:val="0"/>
          <w:color w:val="000000"/>
          <w:sz w:val="21"/>
        </w:rPr>
        <w:t>分零件几何：base、shoulder、upper arm、forearm、wrist、flange等独立STEP。</w:t>
      </w:r>
    </w:p>
    <w:p>
      <w:pPr>
        <w:pStyle w:val="ListBullet"/>
        <w:spacing w:after="40" w:line="288" w:lineRule="auto"/>
        <w:ind w:left="369" w:hanging="142"/>
      </w:pPr>
      <w:r>
        <w:rPr>
          <w:rFonts w:ascii="Arial" w:hAnsi="Arial" w:eastAsia="等线"/>
          <w:b w:val="0"/>
          <w:color w:val="000000"/>
          <w:sz w:val="21"/>
        </w:rPr>
        <w:t>运动学：robot.urdf或人工核验的kinematics.json。</w:t>
      </w:r>
    </w:p>
    <w:p>
      <w:pPr>
        <w:pStyle w:val="ListBullet"/>
        <w:spacing w:after="40" w:line="288" w:lineRule="auto"/>
        <w:ind w:left="369" w:hanging="142"/>
      </w:pPr>
      <w:r>
        <w:rPr>
          <w:rFonts w:ascii="Arial" w:hAnsi="Arial" w:eastAsia="等线"/>
          <w:b w:val="0"/>
          <w:color w:val="000000"/>
          <w:sz w:val="21"/>
        </w:rPr>
        <w:t>结构真值：assembly_graph.json、kinematic_graph.json。</w:t>
      </w:r>
    </w:p>
    <w:p>
      <w:pPr>
        <w:pStyle w:val="ListBullet"/>
        <w:spacing w:after="40" w:line="288" w:lineRule="auto"/>
        <w:ind w:left="369" w:hanging="142"/>
      </w:pPr>
      <w:r>
        <w:rPr>
          <w:rFonts w:ascii="Arial" w:hAnsi="Arial" w:eastAsia="等线"/>
          <w:b w:val="0"/>
          <w:color w:val="000000"/>
          <w:sz w:val="21"/>
        </w:rPr>
        <w:t>跨表示映射：cad_urdf_mapping.json。</w:t>
      </w:r>
    </w:p>
    <w:p>
      <w:pPr>
        <w:pStyle w:val="ListBullet"/>
        <w:spacing w:after="40" w:line="288" w:lineRule="auto"/>
        <w:ind w:left="369" w:hanging="142"/>
      </w:pPr>
      <w:r>
        <w:rPr>
          <w:rFonts w:ascii="Arial" w:hAnsi="Arial" w:eastAsia="等线"/>
          <w:b w:val="0"/>
          <w:color w:val="000000"/>
          <w:sz w:val="21"/>
        </w:rPr>
        <w:t>多模态输入：统一尺度的front/side/top/iso等4-6个固定多视图；不同详细度的文字prompt。</w:t>
      </w:r>
    </w:p>
    <w:p>
      <w:pPr>
        <w:pStyle w:val="ListBullet"/>
        <w:spacing w:after="40" w:line="288" w:lineRule="auto"/>
        <w:ind w:left="369" w:hanging="142"/>
      </w:pPr>
      <w:r>
        <w:rPr>
          <w:rFonts w:ascii="Arial" w:hAnsi="Arial" w:eastAsia="等线"/>
          <w:b w:val="0"/>
          <w:color w:val="000000"/>
          <w:sz w:val="21"/>
        </w:rPr>
        <w:t>曲面标注：surface_analysis.json，由OCCT自动提取Surface Type、面积占比、face/edge数量等。</w:t>
      </w:r>
    </w:p>
    <w:p>
      <w:pPr>
        <w:pStyle w:val="ListBullet"/>
        <w:spacing w:after="40" w:line="288" w:lineRule="auto"/>
        <w:ind w:left="369" w:hanging="142"/>
      </w:pPr>
      <w:r>
        <w:rPr>
          <w:rFonts w:ascii="Arial" w:hAnsi="Arial" w:eastAsia="等线"/>
          <w:b w:val="0"/>
          <w:color w:val="000000"/>
          <w:sz w:val="21"/>
        </w:rPr>
        <w:t>元数据：来源、型号匿名ID、许可证、单位、自由度、link/joint数量、下载时间和再分发许可。</w:t>
      </w:r>
    </w:p>
    <w:p>
      <w:pPr>
        <w:pStyle w:val="Heading2"/>
        <w:spacing w:before="100" w:after="80"/>
      </w:pPr>
      <w:r>
        <w:rPr>
          <w:rFonts w:ascii="Arial" w:hAnsi="Arial" w:eastAsia="等线"/>
          <w:b/>
          <w:color w:val="000000"/>
          <w:sz w:val="25"/>
        </w:rPr>
        <w:t>6.3 STEP是否足够</w:t>
      </w:r>
    </w:p>
    <w:p>
      <w:pPr>
        <w:spacing w:after="60" w:line="300" w:lineRule="auto"/>
        <w:ind w:left="0"/>
      </w:pPr>
      <w:r>
        <w:rPr>
          <w:rFonts w:ascii="Arial" w:hAnsi="Arial" w:eastAsia="等线"/>
          <w:b w:val="0"/>
          <w:color w:val="000000"/>
          <w:sz w:val="21"/>
        </w:rPr>
        <w:t>仅有STEP足以启动项目，并足以完成曲面复杂度审计、B-Rep几何真值和部分装配结构分析；但正式完成“关节式机械装配Benchmark”仍需补充URDF或人工标注的joint type、parent-child、axis、origin和limit。参数化CAD真值并非每个样本都必须具备，预测结果的“参数化能力”可通过自动参数扰动测试验证。</w:t>
      </w:r>
    </w:p>
    <w:p>
      <w:pPr>
        <w:pStyle w:val="Heading2"/>
        <w:spacing w:before="100" w:after="80"/>
      </w:pPr>
      <w:r>
        <w:rPr>
          <w:rFonts w:ascii="Arial" w:hAnsi="Arial" w:eastAsia="等线"/>
          <w:b/>
          <w:color w:val="000000"/>
          <w:sz w:val="25"/>
        </w:rPr>
        <w:t>6.4 曲面复杂度分层</w:t>
      </w:r>
    </w:p>
    <w:p>
      <w:pPr>
        <w:spacing w:after="60" w:line="300" w:lineRule="auto"/>
        <w:ind w:left="0"/>
      </w:pPr>
      <w:r>
        <w:rPr>
          <w:rFonts w:ascii="Arial" w:hAnsi="Arial" w:eastAsia="等线"/>
          <w:b w:val="0"/>
          <w:color w:val="000000"/>
          <w:sz w:val="21"/>
        </w:rPr>
        <w:t>从GT STEP/B-Rep中自动提取Plane、Cylinder、Cone、Sphere、Torus、Revolution、Extrusion、Bezier、BSpline/NURBS、Offset等底层曲面类型。建议按“表面积占比”而不是单纯face数量定义复杂度。</w:t>
      </w:r>
    </w:p>
    <w:p>
      <w:pPr>
        <w:pStyle w:val="ListBullet"/>
        <w:spacing w:after="40" w:line="288" w:lineRule="auto"/>
        <w:ind w:left="369" w:hanging="142"/>
      </w:pPr>
      <w:r>
        <w:rPr>
          <w:rFonts w:ascii="Arial" w:hAnsi="Arial" w:eastAsia="等线"/>
          <w:b w:val="0"/>
          <w:color w:val="000000"/>
          <w:sz w:val="21"/>
        </w:rPr>
        <w:t>G1 低复杂度：以plane/cylinder/revolve/extrude为主。</w:t>
      </w:r>
    </w:p>
    <w:p>
      <w:pPr>
        <w:pStyle w:val="ListBullet"/>
        <w:spacing w:after="40" w:line="288" w:lineRule="auto"/>
        <w:ind w:left="369" w:hanging="142"/>
      </w:pPr>
      <w:r>
        <w:rPr>
          <w:rFonts w:ascii="Arial" w:hAnsi="Arial" w:eastAsia="等线"/>
          <w:b w:val="0"/>
          <w:color w:val="000000"/>
          <w:sz w:val="21"/>
        </w:rPr>
        <w:t>G2 中复杂度：较多fillet/shell/sweep/simple loft/trimmed surface。</w:t>
      </w:r>
    </w:p>
    <w:p>
      <w:pPr>
        <w:pStyle w:val="ListBullet"/>
        <w:spacing w:after="40" w:line="288" w:lineRule="auto"/>
        <w:ind w:left="369" w:hanging="142"/>
      </w:pPr>
      <w:r>
        <w:rPr>
          <w:rFonts w:ascii="Arial" w:hAnsi="Arial" w:eastAsia="等线"/>
          <w:b w:val="0"/>
          <w:color w:val="000000"/>
          <w:sz w:val="21"/>
        </w:rPr>
        <w:t>G3 高复杂度：multi-section loft、guide-curve、BSpline/NURBS、compound blends占比较高。</w:t>
      </w:r>
    </w:p>
    <w:p>
      <w:pPr>
        <w:pStyle w:val="ListBullet"/>
        <w:spacing w:after="40" w:line="288" w:lineRule="auto"/>
        <w:ind w:left="369" w:hanging="142"/>
      </w:pPr>
      <w:r>
        <w:rPr>
          <w:rFonts w:ascii="Arial" w:hAnsi="Arial" w:eastAsia="等线"/>
          <w:b w:val="0"/>
          <w:color w:val="000000"/>
          <w:sz w:val="21"/>
        </w:rPr>
        <w:t>建议不急于提出新的总分指标；先用Free-form Area Ratio、face count、edge count、curvature variation等原始量分层。</w:t>
      </w:r>
    </w:p>
    <w:p>
      <w:pPr>
        <w:pStyle w:val="Heading2"/>
        <w:spacing w:before="100" w:after="80"/>
      </w:pPr>
      <w:r>
        <w:rPr>
          <w:rFonts w:ascii="Arial" w:hAnsi="Arial" w:eastAsia="等线"/>
          <w:b/>
          <w:color w:val="000000"/>
          <w:sz w:val="25"/>
        </w:rPr>
        <w:t>6.5 装配复杂度分层</w:t>
      </w:r>
    </w:p>
    <w:p>
      <w:pPr>
        <w:pStyle w:val="ListBullet"/>
        <w:spacing w:after="40" w:line="288" w:lineRule="auto"/>
        <w:ind w:left="369" w:hanging="142"/>
      </w:pPr>
      <w:r>
        <w:rPr>
          <w:rFonts w:ascii="Arial" w:hAnsi="Arial" w:eastAsia="等线"/>
          <w:b w:val="0"/>
          <w:color w:val="000000"/>
          <w:sz w:val="21"/>
        </w:rPr>
        <w:t>A1：3 joints左右、短运动链、接口数量少。</w:t>
      </w:r>
    </w:p>
    <w:p>
      <w:pPr>
        <w:pStyle w:val="ListBullet"/>
        <w:spacing w:after="40" w:line="288" w:lineRule="auto"/>
        <w:ind w:left="369" w:hanging="142"/>
      </w:pPr>
      <w:r>
        <w:rPr>
          <w:rFonts w:ascii="Arial" w:hAnsi="Arial" w:eastAsia="等线"/>
          <w:b w:val="0"/>
          <w:color w:val="000000"/>
          <w:sz w:val="21"/>
        </w:rPr>
        <w:t>A2：4-5 joints、中等运动链深度和接口数量。</w:t>
      </w:r>
    </w:p>
    <w:p>
      <w:pPr>
        <w:pStyle w:val="ListBullet"/>
        <w:spacing w:after="40" w:line="288" w:lineRule="auto"/>
        <w:ind w:left="369" w:hanging="142"/>
      </w:pPr>
      <w:r>
        <w:rPr>
          <w:rFonts w:ascii="Arial" w:hAnsi="Arial" w:eastAsia="等线"/>
          <w:b w:val="0"/>
          <w:color w:val="000000"/>
          <w:sz w:val="21"/>
        </w:rPr>
        <w:t>A3：6-7 joints、长运动链、多关节轴方向和较多潜在碰撞pair。</w:t>
      </w:r>
    </w:p>
    <w:p>
      <w:pPr>
        <w:pStyle w:val="ListBullet"/>
        <w:spacing w:after="40" w:line="288" w:lineRule="auto"/>
        <w:ind w:left="369" w:hanging="142"/>
      </w:pPr>
      <w:r>
        <w:rPr>
          <w:rFonts w:ascii="Arial" w:hAnsi="Arial" w:eastAsia="等线"/>
          <w:b w:val="0"/>
          <w:color w:val="000000"/>
          <w:sz w:val="21"/>
        </w:rPr>
        <w:t>辅助连续变量：link数量、joint数量、chain depth、joint type diversity、connector/interface count。</w:t>
      </w:r>
    </w:p>
    <w:p>
      <w:pPr>
        <w:pStyle w:val="Heading2"/>
        <w:spacing w:before="100" w:after="80"/>
      </w:pPr>
      <w:r>
        <w:rPr>
          <w:rFonts w:ascii="Arial" w:hAnsi="Arial" w:eastAsia="等线"/>
          <w:b/>
          <w:color w:val="000000"/>
          <w:sz w:val="25"/>
        </w:rPr>
        <w:t>6.6 Surface × Assembly二维矩阵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rPr>
          <w:tblHeader w:val="true"/>
        </w:trPr>
        <w:tc>
          <w:tcPr>
            <w:tcW w:type="dxa" w:w="24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after="0" w:line="264" w:lineRule="auto"/>
            </w:pPr>
            <w:r>
              <w:rPr>
                <w:rFonts w:ascii="Arial" w:hAnsi="Arial" w:eastAsia="等线"/>
                <w:b/>
                <w:color w:val="000000"/>
                <w:sz w:val="19"/>
              </w:rPr>
            </w:r>
          </w:p>
        </w:tc>
        <w:tc>
          <w:tcPr>
            <w:tcW w:type="dxa" w:w="24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after="0" w:line="264" w:lineRule="auto"/>
            </w:pPr>
            <w:r>
              <w:rPr>
                <w:rFonts w:ascii="Arial" w:hAnsi="Arial" w:eastAsia="等线"/>
                <w:b/>
                <w:color w:val="000000"/>
                <w:sz w:val="19"/>
              </w:rPr>
              <w:t>A1 简单装配</w:t>
            </w:r>
          </w:p>
        </w:tc>
        <w:tc>
          <w:tcPr>
            <w:tcW w:type="dxa" w:w="24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after="0" w:line="264" w:lineRule="auto"/>
            </w:pPr>
            <w:r>
              <w:rPr>
                <w:rFonts w:ascii="Arial" w:hAnsi="Arial" w:eastAsia="等线"/>
                <w:b/>
                <w:color w:val="000000"/>
                <w:sz w:val="19"/>
              </w:rPr>
              <w:t>A2 中等装配</w:t>
            </w:r>
          </w:p>
        </w:tc>
        <w:tc>
          <w:tcPr>
            <w:tcW w:type="dxa" w:w="24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after="0" w:line="264" w:lineRule="auto"/>
            </w:pPr>
            <w:r>
              <w:rPr>
                <w:rFonts w:ascii="Arial" w:hAnsi="Arial" w:eastAsia="等线"/>
                <w:b/>
                <w:color w:val="000000"/>
                <w:sz w:val="19"/>
              </w:rPr>
              <w:t>A3 复杂装配</w:t>
            </w:r>
          </w:p>
        </w:tc>
      </w:tr>
      <w:tr>
        <w:tc>
          <w:tcPr>
            <w:tcW w:type="dxa" w:w="24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G1 简单曲面</w:t>
            </w:r>
          </w:p>
        </w:tc>
        <w:tc>
          <w:tcPr>
            <w:tcW w:type="dxa" w:w="24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G1A1</w:t>
            </w:r>
          </w:p>
        </w:tc>
        <w:tc>
          <w:tcPr>
            <w:tcW w:type="dxa" w:w="24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G1A2</w:t>
            </w:r>
          </w:p>
        </w:tc>
        <w:tc>
          <w:tcPr>
            <w:tcW w:type="dxa" w:w="24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G1A3</w:t>
            </w:r>
          </w:p>
        </w:tc>
      </w:tr>
      <w:tr>
        <w:tc>
          <w:tcPr>
            <w:tcW w:type="dxa" w:w="24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G2 中等曲面</w:t>
            </w:r>
          </w:p>
        </w:tc>
        <w:tc>
          <w:tcPr>
            <w:tcW w:type="dxa" w:w="24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G2A1</w:t>
            </w:r>
          </w:p>
        </w:tc>
        <w:tc>
          <w:tcPr>
            <w:tcW w:type="dxa" w:w="24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G2A2</w:t>
            </w:r>
          </w:p>
        </w:tc>
        <w:tc>
          <w:tcPr>
            <w:tcW w:type="dxa" w:w="24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G2A3</w:t>
            </w:r>
          </w:p>
        </w:tc>
      </w:tr>
      <w:tr>
        <w:tc>
          <w:tcPr>
            <w:tcW w:type="dxa" w:w="24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G3 复杂曲面</w:t>
            </w:r>
          </w:p>
        </w:tc>
        <w:tc>
          <w:tcPr>
            <w:tcW w:type="dxa" w:w="24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G3A1</w:t>
            </w:r>
          </w:p>
        </w:tc>
        <w:tc>
          <w:tcPr>
            <w:tcW w:type="dxa" w:w="24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G3A2</w:t>
            </w:r>
          </w:p>
        </w:tc>
        <w:tc>
          <w:tcPr>
            <w:tcW w:type="dxa" w:w="24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G3A3</w:t>
            </w:r>
          </w:p>
        </w:tc>
      </w:tr>
    </w:tbl>
    <w:p>
      <w:pPr>
        <w:spacing w:after="60" w:line="300" w:lineRule="auto"/>
        <w:ind w:left="0"/>
      </w:pPr>
      <w:r>
        <w:rPr>
          <w:rFonts w:ascii="Arial" w:hAnsi="Arial" w:eastAsia="等线"/>
          <w:b w:val="0"/>
          <w:color w:val="000000"/>
          <w:sz w:val="21"/>
        </w:rPr>
        <w:t>该二维矩阵是论文实验设计的核心。Real Set用于验证真实模型表现，Controlled Set用于保证每个格子样本量均衡并支持统计分析。</w:t>
      </w:r>
    </w:p>
    <w:p>
      <w:pPr>
        <w:pStyle w:val="Heading1"/>
        <w:spacing w:before="160" w:after="80"/>
      </w:pPr>
      <w:r>
        <w:rPr>
          <w:rFonts w:ascii="Arial" w:hAnsi="Arial" w:eastAsia="等线"/>
          <w:b/>
          <w:color w:val="000000"/>
          <w:sz w:val="28"/>
        </w:rPr>
        <w:t>七、输入与输出协议</w:t>
      </w:r>
    </w:p>
    <w:p>
      <w:pPr>
        <w:pStyle w:val="Heading2"/>
        <w:spacing w:before="100" w:after="80"/>
      </w:pPr>
      <w:r>
        <w:rPr>
          <w:rFonts w:ascii="Arial" w:hAnsi="Arial" w:eastAsia="等线"/>
          <w:b/>
          <w:color w:val="000000"/>
          <w:sz w:val="25"/>
        </w:rPr>
        <w:t>7.1 三种主输入设置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rPr>
          <w:tblHeader w:val="true"/>
        </w:trPr>
        <w:tc>
          <w:tcPr>
            <w:tcW w:type="dxa" w:w="24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after="0" w:line="264" w:lineRule="auto"/>
            </w:pPr>
            <w:r>
              <w:rPr>
                <w:rFonts w:ascii="Arial" w:hAnsi="Arial" w:eastAsia="等线"/>
                <w:b/>
                <w:color w:val="000000"/>
                <w:sz w:val="19"/>
              </w:rPr>
              <w:t>设置</w:t>
            </w:r>
          </w:p>
        </w:tc>
        <w:tc>
          <w:tcPr>
            <w:tcW w:type="dxa" w:w="24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after="0" w:line="264" w:lineRule="auto"/>
            </w:pPr>
            <w:r>
              <w:rPr>
                <w:rFonts w:ascii="Arial" w:hAnsi="Arial" w:eastAsia="等线"/>
                <w:b/>
                <w:color w:val="000000"/>
                <w:sz w:val="19"/>
              </w:rPr>
              <w:t>输入</w:t>
            </w:r>
          </w:p>
        </w:tc>
        <w:tc>
          <w:tcPr>
            <w:tcW w:type="dxa" w:w="24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after="0" w:line="264" w:lineRule="auto"/>
            </w:pPr>
            <w:r>
              <w:rPr>
                <w:rFonts w:ascii="Arial" w:hAnsi="Arial" w:eastAsia="等线"/>
                <w:b/>
                <w:color w:val="000000"/>
                <w:sz w:val="19"/>
              </w:rPr>
              <w:t>主要考察能力</w:t>
            </w:r>
          </w:p>
        </w:tc>
        <w:tc>
          <w:tcPr>
            <w:tcW w:type="dxa" w:w="24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after="0" w:line="264" w:lineRule="auto"/>
            </w:pPr>
            <w:r>
              <w:rPr>
                <w:rFonts w:ascii="Arial" w:hAnsi="Arial" w:eastAsia="等线"/>
                <w:b/>
                <w:color w:val="000000"/>
                <w:sz w:val="19"/>
              </w:rPr>
              <w:t>备注</w:t>
            </w:r>
          </w:p>
        </w:tc>
      </w:tr>
      <w:tr>
        <w:tc>
          <w:tcPr>
            <w:tcW w:type="dxa" w:w="24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T</w:t>
            </w:r>
          </w:p>
        </w:tc>
        <w:tc>
          <w:tcPr>
            <w:tcW w:type="dxa" w:w="24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结构化/自然语言文字描述</w:t>
            </w:r>
          </w:p>
        </w:tc>
        <w:tc>
          <w:tcPr>
            <w:tcW w:type="dxa" w:w="24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语义、尺寸、结构规划</w:t>
            </w:r>
          </w:p>
        </w:tc>
        <w:tc>
          <w:tcPr>
            <w:tcW w:type="dxa" w:w="24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主IoU实验使用足够具体的描述；模糊prompt单列Challenge</w:t>
            </w:r>
          </w:p>
        </w:tc>
      </w:tr>
      <w:tr>
        <w:tc>
          <w:tcPr>
            <w:tcW w:type="dxa" w:w="24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I</w:t>
            </w:r>
          </w:p>
        </w:tc>
        <w:tc>
          <w:tcPr>
            <w:tcW w:type="dxa" w:w="24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4-6张固定多视图图片</w:t>
            </w:r>
          </w:p>
        </w:tc>
        <w:tc>
          <w:tcPr>
            <w:tcW w:type="dxa" w:w="24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视觉几何、复杂曲面恢复</w:t>
            </w:r>
          </w:p>
        </w:tc>
        <w:tc>
          <w:tcPr>
            <w:tcW w:type="dxa" w:w="24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统一尺度、零位、相机和背景</w:t>
            </w:r>
          </w:p>
        </w:tc>
      </w:tr>
      <w:tr>
        <w:tc>
          <w:tcPr>
            <w:tcW w:type="dxa" w:w="24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T+I</w:t>
            </w:r>
          </w:p>
        </w:tc>
        <w:tc>
          <w:tcPr>
            <w:tcW w:type="dxa" w:w="24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文字 + 多视图</w:t>
            </w:r>
          </w:p>
        </w:tc>
        <w:tc>
          <w:tcPr>
            <w:tcW w:type="dxa" w:w="24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多模态互补</w:t>
            </w:r>
          </w:p>
        </w:tc>
        <w:tc>
          <w:tcPr>
            <w:tcW w:type="dxa" w:w="24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建议作为完整系统主设置</w:t>
            </w:r>
          </w:p>
        </w:tc>
      </w:tr>
    </w:tbl>
    <w:p>
      <w:pPr>
        <w:pStyle w:val="Heading2"/>
        <w:spacing w:before="100" w:after="80"/>
      </w:pPr>
      <w:r>
        <w:rPr>
          <w:rFonts w:ascii="Arial" w:hAnsi="Arial" w:eastAsia="等线"/>
          <w:b/>
          <w:color w:val="000000"/>
          <w:sz w:val="25"/>
        </w:rPr>
        <w:t>7.2 预测输出规范</w:t>
      </w:r>
    </w:p>
    <w:p>
      <w:pPr>
        <w:pStyle w:val="ListBullet"/>
        <w:spacing w:after="40" w:line="288" w:lineRule="auto"/>
        <w:ind w:left="369" w:hanging="142"/>
      </w:pPr>
      <w:r>
        <w:rPr>
          <w:rFonts w:ascii="Arial" w:hAnsi="Arial" w:eastAsia="等线"/>
          <w:b w:val="0"/>
          <w:color w:val="000000"/>
          <w:sz w:val="21"/>
        </w:rPr>
        <w:t>参数化CAD程序（CadQuery、CADIR/SimpleCADAPI或统一中间表示）。</w:t>
      </w:r>
    </w:p>
    <w:p>
      <w:pPr>
        <w:pStyle w:val="ListBullet"/>
        <w:spacing w:after="40" w:line="288" w:lineRule="auto"/>
        <w:ind w:left="369" w:hanging="142"/>
      </w:pPr>
      <w:r>
        <w:rPr>
          <w:rFonts w:ascii="Arial" w:hAnsi="Arial" w:eastAsia="等线"/>
          <w:b w:val="0"/>
          <w:color w:val="000000"/>
          <w:sz w:val="21"/>
        </w:rPr>
        <w:t>每个link独立的STEP/B-Rep与可选STL。</w:t>
      </w:r>
    </w:p>
    <w:p>
      <w:pPr>
        <w:pStyle w:val="ListBullet"/>
        <w:spacing w:after="40" w:line="288" w:lineRule="auto"/>
        <w:ind w:left="369" w:hanging="142"/>
      </w:pPr>
      <w:r>
        <w:rPr>
          <w:rFonts w:ascii="Arial" w:hAnsi="Arial" w:eastAsia="等线"/>
          <w:b w:val="0"/>
          <w:color w:val="000000"/>
          <w:sz w:val="21"/>
        </w:rPr>
        <w:t>整机装配表示，包括部件ID和装配关系。</w:t>
      </w:r>
    </w:p>
    <w:p>
      <w:pPr>
        <w:pStyle w:val="ListBullet"/>
        <w:spacing w:after="40" w:line="288" w:lineRule="auto"/>
        <w:ind w:left="369" w:hanging="142"/>
      </w:pPr>
      <w:r>
        <w:rPr>
          <w:rFonts w:ascii="Arial" w:hAnsi="Arial" w:eastAsia="等线"/>
          <w:b w:val="0"/>
          <w:color w:val="000000"/>
          <w:sz w:val="21"/>
        </w:rPr>
        <w:t>运动链与joint type/axis/origin/limit。</w:t>
      </w:r>
    </w:p>
    <w:p>
      <w:pPr>
        <w:pStyle w:val="ListBullet"/>
        <w:spacing w:after="40" w:line="288" w:lineRule="auto"/>
        <w:ind w:left="369" w:hanging="142"/>
      </w:pPr>
      <w:r>
        <w:rPr>
          <w:rFonts w:ascii="Arial" w:hAnsi="Arial" w:eastAsia="等线"/>
          <w:b w:val="0"/>
          <w:color w:val="000000"/>
          <w:sz w:val="21"/>
        </w:rPr>
        <w:t>可选URDF及CAD link ↔ URDF link/joint映射。</w:t>
      </w:r>
    </w:p>
    <w:p>
      <w:pPr>
        <w:pStyle w:val="ListBullet"/>
        <w:spacing w:after="40" w:line="288" w:lineRule="auto"/>
        <w:ind w:left="369" w:hanging="142"/>
      </w:pPr>
      <w:r>
        <w:rPr>
          <w:rFonts w:ascii="Arial" w:hAnsi="Arial" w:eastAsia="等线"/>
          <w:b w:val="0"/>
          <w:color w:val="000000"/>
          <w:sz w:val="21"/>
        </w:rPr>
        <w:t>禁止直接把输入mesh/GT STEP作为外部依赖或简单封装成单一solid；提交程序在删除参考文件后仍应可执行。</w:t>
      </w:r>
    </w:p>
    <w:p>
      <w:pPr>
        <w:pStyle w:val="Heading1"/>
        <w:spacing w:before="160" w:after="80"/>
      </w:pPr>
      <w:r>
        <w:rPr>
          <w:rFonts w:ascii="Arial" w:hAnsi="Arial" w:eastAsia="等线"/>
          <w:b/>
          <w:color w:val="000000"/>
          <w:sz w:val="28"/>
        </w:rPr>
        <w:t>八、提出的方法：机械臂专用生成工作流</w:t>
      </w:r>
    </w:p>
    <w:p>
      <w:pPr>
        <w:spacing w:after="60" w:line="300" w:lineRule="auto"/>
        <w:ind w:left="0"/>
      </w:pPr>
      <w:r>
        <w:rPr>
          <w:rFonts w:ascii="Arial" w:hAnsi="Arial" w:eastAsia="等线"/>
          <w:b w:val="0"/>
          <w:color w:val="000000"/>
          <w:sz w:val="21"/>
        </w:rPr>
        <w:t>建议方法主线：Kinematic-first → Interface-first → Surface-aware Part Generation → Deterministic Assembly → Dual Feedback / Local Repair。</w:t>
      </w:r>
    </w:p>
    <w:p>
      <w:pPr>
        <w:pStyle w:val="Heading2"/>
        <w:spacing w:before="100" w:after="80"/>
      </w:pPr>
      <w:r>
        <w:rPr>
          <w:rFonts w:ascii="Arial" w:hAnsi="Arial" w:eastAsia="等线"/>
          <w:b/>
          <w:color w:val="000000"/>
          <w:sz w:val="25"/>
        </w:rPr>
        <w:t>8.1 Kinematic-first Planning</w:t>
      </w:r>
    </w:p>
    <w:p>
      <w:pPr>
        <w:pStyle w:val="ListBullet"/>
        <w:spacing w:after="40" w:line="288" w:lineRule="auto"/>
        <w:ind w:left="369" w:hanging="142"/>
      </w:pPr>
      <w:r>
        <w:rPr>
          <w:rFonts w:ascii="Arial" w:hAnsi="Arial" w:eastAsia="等线"/>
          <w:b w:val="0"/>
          <w:color w:val="000000"/>
          <w:sz w:val="21"/>
        </w:rPr>
        <w:t>先规划links、joints、parent-child、joint type、axis、origin、limit。</w:t>
      </w:r>
    </w:p>
    <w:p>
      <w:pPr>
        <w:pStyle w:val="ListBullet"/>
        <w:spacing w:after="40" w:line="288" w:lineRule="auto"/>
        <w:ind w:left="369" w:hanging="142"/>
      </w:pPr>
      <w:r>
        <w:rPr>
          <w:rFonts w:ascii="Arial" w:hAnsi="Arial" w:eastAsia="等线"/>
          <w:b w:val="0"/>
          <w:color w:val="000000"/>
          <w:sz w:val="21"/>
        </w:rPr>
        <w:t>几何生成之前固定运动链结构，避免生成完成后再由LLM猜测零件间关系。</w:t>
      </w:r>
    </w:p>
    <w:p>
      <w:pPr>
        <w:pStyle w:val="Heading2"/>
        <w:spacing w:before="100" w:after="80"/>
      </w:pPr>
      <w:r>
        <w:rPr>
          <w:rFonts w:ascii="Arial" w:hAnsi="Arial" w:eastAsia="等线"/>
          <w:b/>
          <w:color w:val="000000"/>
          <w:sz w:val="25"/>
        </w:rPr>
        <w:t>8.2 Interface-first Planning</w:t>
      </w:r>
    </w:p>
    <w:p>
      <w:pPr>
        <w:pStyle w:val="ListBullet"/>
        <w:spacing w:after="40" w:line="288" w:lineRule="auto"/>
        <w:ind w:left="369" w:hanging="142"/>
      </w:pPr>
      <w:r>
        <w:rPr>
          <w:rFonts w:ascii="Arial" w:hAnsi="Arial" w:eastAsia="等线"/>
          <w:b w:val="0"/>
          <w:color w:val="000000"/>
          <w:sz w:val="21"/>
        </w:rPr>
        <w:t>每个link先确定proximal/distal connector、joint frame、motor/bearing/flange/mounting interface。</w:t>
      </w:r>
    </w:p>
    <w:p>
      <w:pPr>
        <w:pStyle w:val="ListBullet"/>
        <w:spacing w:after="40" w:line="288" w:lineRule="auto"/>
        <w:ind w:left="369" w:hanging="142"/>
      </w:pPr>
      <w:r>
        <w:rPr>
          <w:rFonts w:ascii="Arial" w:hAnsi="Arial" w:eastAsia="等线"/>
          <w:b w:val="0"/>
          <w:color w:val="000000"/>
          <w:sz w:val="21"/>
        </w:rPr>
        <w:t>将接口区域作为功能约束区，后续自由曲面生成不得破坏其坐标、轴线和配合几何。</w:t>
      </w:r>
    </w:p>
    <w:p>
      <w:pPr>
        <w:pStyle w:val="Heading2"/>
        <w:spacing w:before="100" w:after="80"/>
      </w:pPr>
      <w:r>
        <w:rPr>
          <w:rFonts w:ascii="Arial" w:hAnsi="Arial" w:eastAsia="等线"/>
          <w:b/>
          <w:color w:val="000000"/>
          <w:sz w:val="25"/>
        </w:rPr>
        <w:t>8.3 Surface-aware Part Generation</w:t>
      </w:r>
    </w:p>
    <w:p>
      <w:pPr>
        <w:spacing w:after="60" w:line="300" w:lineRule="auto"/>
        <w:ind w:left="0"/>
      </w:pPr>
      <w:r>
        <w:rPr>
          <w:rFonts w:ascii="Arial" w:hAnsi="Arial" w:eastAsia="等线"/>
          <w:b w:val="0"/>
          <w:color w:val="000000"/>
          <w:sz w:val="21"/>
        </w:rPr>
        <w:t>每个link拆成“Functional Interface + Complex Body”。功能接口优先使用解析几何；主体允许loft、sweep、BSpline/NURBS、fillet/blend等复杂曲面。重点研究受接口和运动约束的曲面生成，而不是单纯自由曲面生成。</w:t>
      </w:r>
    </w:p>
    <w:p>
      <w:pPr>
        <w:pStyle w:val="Heading2"/>
        <w:spacing w:before="100" w:after="80"/>
      </w:pPr>
      <w:r>
        <w:rPr>
          <w:rFonts w:ascii="Arial" w:hAnsi="Arial" w:eastAsia="等线"/>
          <w:b/>
          <w:color w:val="000000"/>
          <w:sz w:val="25"/>
        </w:rPr>
        <w:t>8.4 Deterministic Assembly</w:t>
      </w:r>
    </w:p>
    <w:p>
      <w:pPr>
        <w:spacing w:after="60" w:line="300" w:lineRule="auto"/>
        <w:ind w:left="0"/>
      </w:pPr>
      <w:r>
        <w:rPr>
          <w:rFonts w:ascii="Arial" w:hAnsi="Arial" w:eastAsia="等线"/>
          <w:b w:val="0"/>
          <w:color w:val="000000"/>
          <w:sz w:val="21"/>
        </w:rPr>
        <w:t>根据Stage 1/2中已冻结的connector frame、joint axis和origin进行确定性装配，不依赖LLM目测放置。</w:t>
      </w:r>
    </w:p>
    <w:p>
      <w:pPr>
        <w:pStyle w:val="Heading2"/>
        <w:spacing w:before="100" w:after="80"/>
      </w:pPr>
      <w:r>
        <w:rPr>
          <w:rFonts w:ascii="Arial" w:hAnsi="Arial" w:eastAsia="等线"/>
          <w:b/>
          <w:color w:val="000000"/>
          <w:sz w:val="25"/>
        </w:rPr>
        <w:t>8.5 Dual Feedback and Local Repair</w:t>
      </w:r>
    </w:p>
    <w:p>
      <w:pPr>
        <w:pStyle w:val="ListBullet"/>
        <w:spacing w:after="40" w:line="288" w:lineRule="auto"/>
        <w:ind w:left="369" w:hanging="142"/>
      </w:pPr>
      <w:r>
        <w:rPr>
          <w:rFonts w:ascii="Arial" w:hAnsi="Arial" w:eastAsia="等线"/>
          <w:b w:val="0"/>
          <w:color w:val="000000"/>
          <w:sz w:val="21"/>
        </w:rPr>
        <w:t>Geometry Validator定位具体link/曲面区域，仅回滚Surface Generator。</w:t>
      </w:r>
    </w:p>
    <w:p>
      <w:pPr>
        <w:pStyle w:val="ListBullet"/>
        <w:spacing w:after="40" w:line="288" w:lineRule="auto"/>
        <w:ind w:left="369" w:hanging="142"/>
      </w:pPr>
      <w:r>
        <w:rPr>
          <w:rFonts w:ascii="Arial" w:hAnsi="Arial" w:eastAsia="等线"/>
          <w:b w:val="0"/>
          <w:color w:val="000000"/>
          <w:sz w:val="21"/>
        </w:rPr>
        <w:t>Assembly/Kinematic Validator定位joint/connector问题，仅回滚Kinematic或Interface Planner。</w:t>
      </w:r>
    </w:p>
    <w:p>
      <w:pPr>
        <w:pStyle w:val="ListBullet"/>
        <w:spacing w:after="40" w:line="288" w:lineRule="auto"/>
        <w:ind w:left="369" w:hanging="142"/>
      </w:pPr>
      <w:r>
        <w:rPr>
          <w:rFonts w:ascii="Arial" w:hAnsi="Arial" w:eastAsia="等线"/>
          <w:b w:val="0"/>
          <w:color w:val="000000"/>
          <w:sz w:val="21"/>
        </w:rPr>
        <w:t>避免整机完全重生成，比较局部修复与whole-regeneration的效率和质量。</w:t>
      </w:r>
    </w:p>
    <w:p>
      <w:pPr>
        <w:pStyle w:val="Heading1"/>
        <w:spacing w:before="160" w:after="80"/>
      </w:pPr>
      <w:r>
        <w:rPr>
          <w:rFonts w:ascii="Arial" w:hAnsi="Arial" w:eastAsia="等线"/>
          <w:b/>
          <w:color w:val="000000"/>
          <w:sz w:val="28"/>
        </w:rPr>
        <w:t>九、确定性评价体系</w:t>
      </w:r>
    </w:p>
    <w:p>
      <w:pPr>
        <w:pStyle w:val="Heading2"/>
        <w:spacing w:before="100" w:after="80"/>
      </w:pPr>
      <w:r>
        <w:rPr>
          <w:rFonts w:ascii="Arial" w:hAnsi="Arial" w:eastAsia="等线"/>
          <w:b/>
          <w:color w:val="000000"/>
          <w:sz w:val="25"/>
        </w:rPr>
        <w:t>9.1 基础可执行性</w:t>
      </w:r>
    </w:p>
    <w:p>
      <w:pPr>
        <w:pStyle w:val="ListBullet"/>
        <w:spacing w:after="40" w:line="288" w:lineRule="auto"/>
        <w:ind w:left="369" w:hanging="142"/>
      </w:pPr>
      <w:r>
        <w:rPr>
          <w:rFonts w:ascii="Arial" w:hAnsi="Arial" w:eastAsia="等线"/>
          <w:b w:val="0"/>
          <w:color w:val="000000"/>
          <w:sz w:val="21"/>
        </w:rPr>
        <w:t>CAD代码执行成功率</w:t>
      </w:r>
    </w:p>
    <w:p>
      <w:pPr>
        <w:pStyle w:val="ListBullet"/>
        <w:spacing w:after="40" w:line="288" w:lineRule="auto"/>
        <w:ind w:left="369" w:hanging="142"/>
      </w:pPr>
      <w:r>
        <w:rPr>
          <w:rFonts w:ascii="Arial" w:hAnsi="Arial" w:eastAsia="等线"/>
          <w:b w:val="0"/>
          <w:color w:val="000000"/>
          <w:sz w:val="21"/>
        </w:rPr>
        <w:t>合法B-Rep/solid率</w:t>
      </w:r>
    </w:p>
    <w:p>
      <w:pPr>
        <w:pStyle w:val="ListBullet"/>
        <w:spacing w:after="40" w:line="288" w:lineRule="auto"/>
        <w:ind w:left="369" w:hanging="142"/>
      </w:pPr>
      <w:r>
        <w:rPr>
          <w:rFonts w:ascii="Arial" w:hAnsi="Arial" w:eastAsia="等线"/>
          <w:b w:val="0"/>
          <w:color w:val="000000"/>
          <w:sz w:val="21"/>
        </w:rPr>
        <w:t>STEP导出与重新导入成功率</w:t>
      </w:r>
    </w:p>
    <w:p>
      <w:pPr>
        <w:pStyle w:val="ListBullet"/>
        <w:spacing w:after="40" w:line="288" w:lineRule="auto"/>
        <w:ind w:left="369" w:hanging="142"/>
      </w:pPr>
      <w:r>
        <w:rPr>
          <w:rFonts w:ascii="Arial" w:hAnsi="Arial" w:eastAsia="等线"/>
          <w:b w:val="0"/>
          <w:color w:val="000000"/>
          <w:sz w:val="21"/>
        </w:rPr>
        <w:t>URDF解析率（若提交URDF）</w:t>
      </w:r>
    </w:p>
    <w:p>
      <w:pPr>
        <w:pStyle w:val="Heading2"/>
        <w:spacing w:before="100" w:after="80"/>
      </w:pPr>
      <w:r>
        <w:rPr>
          <w:rFonts w:ascii="Arial" w:hAnsi="Arial" w:eastAsia="等线"/>
          <w:b/>
          <w:color w:val="000000"/>
          <w:sz w:val="25"/>
        </w:rPr>
        <w:t>9.2 整体与分零件几何</w:t>
      </w:r>
    </w:p>
    <w:p>
      <w:pPr>
        <w:pStyle w:val="ListBullet"/>
        <w:spacing w:after="40" w:line="288" w:lineRule="auto"/>
        <w:ind w:left="369" w:hanging="142"/>
      </w:pPr>
      <w:r>
        <w:rPr>
          <w:rFonts w:ascii="Arial" w:hAnsi="Arial" w:eastAsia="等线"/>
          <w:b w:val="0"/>
          <w:color w:val="000000"/>
          <w:sz w:val="21"/>
        </w:rPr>
        <w:t>Whole Voxel IoU</w:t>
      </w:r>
    </w:p>
    <w:p>
      <w:pPr>
        <w:pStyle w:val="ListBullet"/>
        <w:spacing w:after="40" w:line="288" w:lineRule="auto"/>
        <w:ind w:left="369" w:hanging="142"/>
      </w:pPr>
      <w:r>
        <w:rPr>
          <w:rFonts w:ascii="Arial" w:hAnsi="Arial" w:eastAsia="等线"/>
          <w:b w:val="0"/>
          <w:color w:val="000000"/>
          <w:sz w:val="21"/>
        </w:rPr>
        <w:t>Part-level Macro IoU / Weighted IoU</w:t>
      </w:r>
    </w:p>
    <w:p>
      <w:pPr>
        <w:pStyle w:val="ListBullet"/>
        <w:spacing w:after="40" w:line="288" w:lineRule="auto"/>
        <w:ind w:left="369" w:hanging="142"/>
      </w:pPr>
      <w:r>
        <w:rPr>
          <w:rFonts w:ascii="Arial" w:hAnsi="Arial" w:eastAsia="等线"/>
          <w:b w:val="0"/>
          <w:color w:val="000000"/>
          <w:sz w:val="21"/>
        </w:rPr>
        <w:t>Chamfer Distance</w:t>
      </w:r>
    </w:p>
    <w:p>
      <w:pPr>
        <w:pStyle w:val="ListBullet"/>
        <w:spacing w:after="40" w:line="288" w:lineRule="auto"/>
        <w:ind w:left="369" w:hanging="142"/>
      </w:pPr>
      <w:r>
        <w:rPr>
          <w:rFonts w:ascii="Arial" w:hAnsi="Arial" w:eastAsia="等线"/>
          <w:b w:val="0"/>
          <w:color w:val="000000"/>
          <w:sz w:val="21"/>
        </w:rPr>
        <w:t>HD95</w:t>
      </w:r>
    </w:p>
    <w:p>
      <w:pPr>
        <w:pStyle w:val="ListBullet"/>
        <w:spacing w:after="40" w:line="288" w:lineRule="auto"/>
        <w:ind w:left="369" w:hanging="142"/>
      </w:pPr>
      <w:r>
        <w:rPr>
          <w:rFonts w:ascii="Arial" w:hAnsi="Arial" w:eastAsia="等线"/>
          <w:b w:val="0"/>
          <w:color w:val="000000"/>
          <w:sz w:val="21"/>
        </w:rPr>
        <w:t>Normal Consistency</w:t>
      </w:r>
    </w:p>
    <w:p>
      <w:pPr>
        <w:pStyle w:val="ListBullet"/>
        <w:spacing w:after="40" w:line="288" w:lineRule="auto"/>
        <w:ind w:left="369" w:hanging="142"/>
      </w:pPr>
      <w:r>
        <w:rPr>
          <w:rFonts w:ascii="Arial" w:hAnsi="Arial" w:eastAsia="等线"/>
          <w:b w:val="0"/>
          <w:color w:val="000000"/>
          <w:sz w:val="21"/>
        </w:rPr>
        <w:t>Bounding-box与体积误差</w:t>
      </w:r>
    </w:p>
    <w:p>
      <w:pPr>
        <w:pStyle w:val="Heading2"/>
        <w:spacing w:before="100" w:after="80"/>
      </w:pPr>
      <w:r>
        <w:rPr>
          <w:rFonts w:ascii="Arial" w:hAnsi="Arial" w:eastAsia="等线"/>
          <w:b/>
          <w:color w:val="000000"/>
          <w:sz w:val="25"/>
        </w:rPr>
        <w:t>9.3 复杂曲面专项评价</w:t>
      </w:r>
    </w:p>
    <w:p>
      <w:pPr>
        <w:pStyle w:val="ListBullet"/>
        <w:spacing w:after="40" w:line="288" w:lineRule="auto"/>
        <w:ind w:left="369" w:hanging="142"/>
      </w:pPr>
      <w:r>
        <w:rPr>
          <w:rFonts w:ascii="Arial" w:hAnsi="Arial" w:eastAsia="等线"/>
          <w:b w:val="0"/>
          <w:color w:val="000000"/>
          <w:sz w:val="21"/>
        </w:rPr>
        <w:t>Free-form Region Chamfer Distance：只在GT BSpline/NURBS/复杂blend区域采样。</w:t>
      </w:r>
    </w:p>
    <w:p>
      <w:pPr>
        <w:pStyle w:val="ListBullet"/>
        <w:spacing w:after="40" w:line="288" w:lineRule="auto"/>
        <w:ind w:left="369" w:hanging="142"/>
      </w:pPr>
      <w:r>
        <w:rPr>
          <w:rFonts w:ascii="Arial" w:hAnsi="Arial" w:eastAsia="等线"/>
          <w:b w:val="0"/>
          <w:color w:val="000000"/>
          <w:sz w:val="21"/>
        </w:rPr>
        <w:t>Free-form Region Normal Angular Error。</w:t>
      </w:r>
    </w:p>
    <w:p>
      <w:pPr>
        <w:pStyle w:val="ListBullet"/>
        <w:spacing w:after="40" w:line="288" w:lineRule="auto"/>
        <w:ind w:left="369" w:hanging="142"/>
      </w:pPr>
      <w:r>
        <w:rPr>
          <w:rFonts w:ascii="Arial" w:hAnsi="Arial" w:eastAsia="等线"/>
          <w:b w:val="0"/>
          <w:color w:val="000000"/>
          <w:sz w:val="21"/>
        </w:rPr>
        <w:t>可选Curvature Error：比较mean/principal curvature或曲率分布。</w:t>
      </w:r>
    </w:p>
    <w:p>
      <w:pPr>
        <w:pStyle w:val="ListBullet"/>
        <w:spacing w:after="40" w:line="288" w:lineRule="auto"/>
        <w:ind w:left="369" w:hanging="142"/>
      </w:pPr>
      <w:r>
        <w:rPr>
          <w:rFonts w:ascii="Arial" w:hAnsi="Arial" w:eastAsia="等线"/>
          <w:b w:val="0"/>
          <w:color w:val="000000"/>
          <w:sz w:val="21"/>
        </w:rPr>
        <w:t>按G1/G2/G3分别汇报，验证提升是否真正集中于复杂曲面。</w:t>
      </w:r>
    </w:p>
    <w:p>
      <w:pPr>
        <w:pStyle w:val="Heading2"/>
        <w:spacing w:before="100" w:after="80"/>
      </w:pPr>
      <w:r>
        <w:rPr>
          <w:rFonts w:ascii="Arial" w:hAnsi="Arial" w:eastAsia="等线"/>
          <w:b/>
          <w:color w:val="000000"/>
          <w:sz w:val="25"/>
        </w:rPr>
        <w:t>9.4 装配与运动学</w:t>
      </w:r>
    </w:p>
    <w:p>
      <w:pPr>
        <w:pStyle w:val="ListBullet"/>
        <w:spacing w:after="40" w:line="288" w:lineRule="auto"/>
        <w:ind w:left="369" w:hanging="142"/>
      </w:pPr>
      <w:r>
        <w:rPr>
          <w:rFonts w:ascii="Arial" w:hAnsi="Arial" w:eastAsia="等线"/>
          <w:b w:val="0"/>
          <w:color w:val="000000"/>
          <w:sz w:val="21"/>
        </w:rPr>
        <w:t>Part Count Accuracy</w:t>
      </w:r>
    </w:p>
    <w:p>
      <w:pPr>
        <w:pStyle w:val="ListBullet"/>
        <w:spacing w:after="40" w:line="288" w:lineRule="auto"/>
        <w:ind w:left="369" w:hanging="142"/>
      </w:pPr>
      <w:r>
        <w:rPr>
          <w:rFonts w:ascii="Arial" w:hAnsi="Arial" w:eastAsia="等线"/>
          <w:b w:val="0"/>
          <w:color w:val="000000"/>
          <w:sz w:val="21"/>
        </w:rPr>
        <w:t>Part Matching Precision/Recall/F1</w:t>
      </w:r>
    </w:p>
    <w:p>
      <w:pPr>
        <w:pStyle w:val="ListBullet"/>
        <w:spacing w:after="40" w:line="288" w:lineRule="auto"/>
        <w:ind w:left="369" w:hanging="142"/>
      </w:pPr>
      <w:r>
        <w:rPr>
          <w:rFonts w:ascii="Arial" w:hAnsi="Arial" w:eastAsia="等线"/>
          <w:b w:val="0"/>
          <w:color w:val="000000"/>
          <w:sz w:val="21"/>
        </w:rPr>
        <w:t>Assembly/Kinematic Graph F1</w:t>
      </w:r>
    </w:p>
    <w:p>
      <w:pPr>
        <w:pStyle w:val="ListBullet"/>
        <w:spacing w:after="40" w:line="288" w:lineRule="auto"/>
        <w:ind w:left="369" w:hanging="142"/>
      </w:pPr>
      <w:r>
        <w:rPr>
          <w:rFonts w:ascii="Arial" w:hAnsi="Arial" w:eastAsia="等线"/>
          <w:b w:val="0"/>
          <w:color w:val="000000"/>
          <w:sz w:val="21"/>
        </w:rPr>
        <w:t>Joint Type Accuracy</w:t>
      </w:r>
    </w:p>
    <w:p>
      <w:pPr>
        <w:pStyle w:val="ListBullet"/>
        <w:spacing w:after="40" w:line="288" w:lineRule="auto"/>
        <w:ind w:left="369" w:hanging="142"/>
      </w:pPr>
      <w:r>
        <w:rPr>
          <w:rFonts w:ascii="Arial" w:hAnsi="Arial" w:eastAsia="等线"/>
          <w:b w:val="0"/>
          <w:color w:val="000000"/>
          <w:sz w:val="21"/>
        </w:rPr>
        <w:t>Joint Axis Angular Error</w:t>
      </w:r>
    </w:p>
    <w:p>
      <w:pPr>
        <w:pStyle w:val="ListBullet"/>
        <w:spacing w:after="40" w:line="288" w:lineRule="auto"/>
        <w:ind w:left="369" w:hanging="142"/>
      </w:pPr>
      <w:r>
        <w:rPr>
          <w:rFonts w:ascii="Arial" w:hAnsi="Arial" w:eastAsia="等线"/>
          <w:b w:val="0"/>
          <w:color w:val="000000"/>
          <w:sz w:val="21"/>
        </w:rPr>
        <w:t>Joint Origin Translation/Rotation Error</w:t>
      </w:r>
    </w:p>
    <w:p>
      <w:pPr>
        <w:pStyle w:val="ListBullet"/>
        <w:spacing w:after="40" w:line="288" w:lineRule="auto"/>
        <w:ind w:left="369" w:hanging="142"/>
      </w:pPr>
      <w:r>
        <w:rPr>
          <w:rFonts w:ascii="Arial" w:hAnsi="Arial" w:eastAsia="等线"/>
          <w:b w:val="0"/>
          <w:color w:val="000000"/>
          <w:sz w:val="21"/>
        </w:rPr>
        <w:t>Joint Limit Error</w:t>
      </w:r>
    </w:p>
    <w:p>
      <w:pPr>
        <w:pStyle w:val="ListBullet"/>
        <w:spacing w:after="40" w:line="288" w:lineRule="auto"/>
        <w:ind w:left="369" w:hanging="142"/>
      </w:pPr>
      <w:r>
        <w:rPr>
          <w:rFonts w:ascii="Arial" w:hAnsi="Arial" w:eastAsia="等线"/>
          <w:b w:val="0"/>
          <w:color w:val="000000"/>
          <w:sz w:val="21"/>
        </w:rPr>
        <w:t>DOF Accuracy</w:t>
      </w:r>
    </w:p>
    <w:p>
      <w:pPr>
        <w:pStyle w:val="Heading2"/>
        <w:spacing w:before="100" w:after="80"/>
      </w:pPr>
      <w:r>
        <w:rPr>
          <w:rFonts w:ascii="Arial" w:hAnsi="Arial" w:eastAsia="等线"/>
          <w:b/>
          <w:color w:val="000000"/>
          <w:sz w:val="25"/>
        </w:rPr>
        <w:t>9.5 多姿态行为与一致性</w:t>
      </w:r>
    </w:p>
    <w:p>
      <w:pPr>
        <w:pStyle w:val="ListBullet"/>
        <w:spacing w:after="40" w:line="288" w:lineRule="auto"/>
        <w:ind w:left="369" w:hanging="142"/>
      </w:pPr>
      <w:r>
        <w:rPr>
          <w:rFonts w:ascii="Arial" w:hAnsi="Arial" w:eastAsia="等线"/>
          <w:b w:val="0"/>
          <w:color w:val="000000"/>
          <w:sz w:val="21"/>
        </w:rPr>
        <w:t>固定关节状态集上的Multi-pose IoU</w:t>
      </w:r>
    </w:p>
    <w:p>
      <w:pPr>
        <w:pStyle w:val="ListBullet"/>
        <w:spacing w:after="40" w:line="288" w:lineRule="auto"/>
        <w:ind w:left="369" w:hanging="142"/>
      </w:pPr>
      <w:r>
        <w:rPr>
          <w:rFonts w:ascii="Arial" w:hAnsi="Arial" w:eastAsia="等线"/>
          <w:b w:val="0"/>
          <w:color w:val="000000"/>
          <w:sz w:val="21"/>
        </w:rPr>
        <w:t>各link transform error</w:t>
      </w:r>
    </w:p>
    <w:p>
      <w:pPr>
        <w:pStyle w:val="ListBullet"/>
        <w:spacing w:after="40" w:line="288" w:lineRule="auto"/>
        <w:ind w:left="369" w:hanging="142"/>
      </w:pPr>
      <w:r>
        <w:rPr>
          <w:rFonts w:ascii="Arial" w:hAnsi="Arial" w:eastAsia="等线"/>
          <w:b w:val="0"/>
          <w:color w:val="000000"/>
          <w:sz w:val="21"/>
        </w:rPr>
        <w:t>末端位姿误差</w:t>
      </w:r>
    </w:p>
    <w:p>
      <w:pPr>
        <w:pStyle w:val="ListBullet"/>
        <w:spacing w:after="40" w:line="288" w:lineRule="auto"/>
        <w:ind w:left="369" w:hanging="142"/>
      </w:pPr>
      <w:r>
        <w:rPr>
          <w:rFonts w:ascii="Arial" w:hAnsi="Arial" w:eastAsia="等线"/>
          <w:b w:val="0"/>
          <w:color w:val="000000"/>
          <w:sz w:val="21"/>
        </w:rPr>
        <w:t>Self-collision Rate</w:t>
      </w:r>
    </w:p>
    <w:p>
      <w:pPr>
        <w:pStyle w:val="ListBullet"/>
        <w:spacing w:after="40" w:line="288" w:lineRule="auto"/>
        <w:ind w:left="369" w:hanging="142"/>
      </w:pPr>
      <w:r>
        <w:rPr>
          <w:rFonts w:ascii="Arial" w:hAnsi="Arial" w:eastAsia="等线"/>
          <w:b w:val="0"/>
          <w:color w:val="000000"/>
          <w:sz w:val="21"/>
        </w:rPr>
        <w:t>CAD与URDF多姿态运动结果一致性（若提交URDF）</w:t>
      </w:r>
    </w:p>
    <w:p>
      <w:pPr>
        <w:pStyle w:val="Heading2"/>
        <w:spacing w:before="100" w:after="80"/>
      </w:pPr>
      <w:r>
        <w:rPr>
          <w:rFonts w:ascii="Arial" w:hAnsi="Arial" w:eastAsia="等线"/>
          <w:b/>
          <w:color w:val="000000"/>
          <w:sz w:val="25"/>
        </w:rPr>
        <w:t>9.6 参数化能力</w:t>
      </w:r>
    </w:p>
    <w:p>
      <w:pPr>
        <w:spacing w:after="60" w:line="300" w:lineRule="auto"/>
        <w:ind w:left="0"/>
      </w:pPr>
      <w:r>
        <w:rPr>
          <w:rFonts w:ascii="Arial" w:hAnsi="Arial" w:eastAsia="等线"/>
          <w:b w:val="0"/>
          <w:color w:val="000000"/>
          <w:sz w:val="21"/>
        </w:rPr>
        <w:t>通过真实编辑任务而非代码风格Judge验证：例如将upper-arm长度增加10%、轴径增加2 mm、法兰直径修改、joint limit改变，检查程序能否重新生成、目标尺寸是否正确变化、关联结构是否同步且模型仍然有效。</w:t>
      </w:r>
    </w:p>
    <w:p>
      <w:pPr>
        <w:pStyle w:val="Heading1"/>
        <w:spacing w:before="160" w:after="80"/>
      </w:pPr>
      <w:r>
        <w:rPr>
          <w:rFonts w:ascii="Arial" w:hAnsi="Arial" w:eastAsia="等线"/>
          <w:b/>
          <w:color w:val="000000"/>
          <w:sz w:val="28"/>
        </w:rPr>
        <w:t>十、论文实验设计</w:t>
      </w:r>
    </w:p>
    <w:p>
      <w:pPr>
        <w:pStyle w:val="Heading2"/>
        <w:spacing w:before="100" w:after="80"/>
      </w:pPr>
      <w:r>
        <w:rPr>
          <w:rFonts w:ascii="Arial" w:hAnsi="Arial" w:eastAsia="等线"/>
          <w:b/>
          <w:color w:val="000000"/>
          <w:sz w:val="25"/>
        </w:rPr>
        <w:t>实验1：SOTA能力边界基准（RQ1）</w:t>
      </w:r>
    </w:p>
    <w:p>
      <w:pPr>
        <w:spacing w:after="60" w:line="300" w:lineRule="auto"/>
        <w:ind w:left="0"/>
      </w:pPr>
      <w:r>
        <w:rPr>
          <w:rFonts w:ascii="Arial" w:hAnsi="Arial" w:eastAsia="等线"/>
          <w:b w:val="0"/>
          <w:color w:val="000000"/>
          <w:sz w:val="21"/>
        </w:rPr>
        <w:t>目的：回答当前系统在机械臂生成上到底是“不会画复杂零件”还是“不会正确装配”。</w:t>
      </w:r>
    </w:p>
    <w:p>
      <w:pPr>
        <w:pStyle w:val="ListBullet"/>
        <w:spacing w:after="40" w:line="288" w:lineRule="auto"/>
        <w:ind w:left="369" w:hanging="142"/>
      </w:pPr>
      <w:r>
        <w:rPr>
          <w:rFonts w:ascii="Arial" w:hAnsi="Arial" w:eastAsia="等线"/>
          <w:b w:val="0"/>
          <w:color w:val="000000"/>
          <w:sz w:val="21"/>
        </w:rPr>
        <w:t>方法：Direct frontier LLM/VLM + CadQuery/FreeCAD、CADIR/SimpleCAD、ArtiCAD、可运行的装配体基线、本文方法。</w:t>
      </w:r>
    </w:p>
    <w:p>
      <w:pPr>
        <w:pStyle w:val="ListBullet"/>
        <w:spacing w:after="40" w:line="288" w:lineRule="auto"/>
        <w:ind w:left="369" w:hanging="142"/>
      </w:pPr>
      <w:r>
        <w:rPr>
          <w:rFonts w:ascii="Arial" w:hAnsi="Arial" w:eastAsia="等线"/>
          <w:b w:val="0"/>
          <w:color w:val="000000"/>
          <w:sz w:val="21"/>
        </w:rPr>
        <w:t>输入：T、I、T+I三种设置。</w:t>
      </w:r>
    </w:p>
    <w:p>
      <w:pPr>
        <w:pStyle w:val="ListBullet"/>
        <w:spacing w:after="40" w:line="288" w:lineRule="auto"/>
        <w:ind w:left="369" w:hanging="142"/>
      </w:pPr>
      <w:r>
        <w:rPr>
          <w:rFonts w:ascii="Arial" w:hAnsi="Arial" w:eastAsia="等线"/>
          <w:b w:val="0"/>
          <w:color w:val="000000"/>
          <w:sz w:val="21"/>
        </w:rPr>
        <w:t>数据：Real Set + Controlled Set。</w:t>
      </w:r>
    </w:p>
    <w:p>
      <w:pPr>
        <w:pStyle w:val="ListBullet"/>
        <w:spacing w:after="40" w:line="288" w:lineRule="auto"/>
        <w:ind w:left="369" w:hanging="142"/>
      </w:pPr>
      <w:r>
        <w:rPr>
          <w:rFonts w:ascii="Arial" w:hAnsi="Arial" w:eastAsia="等线"/>
          <w:b w:val="0"/>
          <w:color w:val="000000"/>
          <w:sz w:val="21"/>
        </w:rPr>
        <w:t>报告：执行率、整机/分link几何、Assembly Graph F1、joint误差、多姿态误差。</w:t>
      </w:r>
    </w:p>
    <w:p>
      <w:pPr>
        <w:pStyle w:val="ListBullet"/>
        <w:spacing w:after="40" w:line="288" w:lineRule="auto"/>
        <w:ind w:left="369" w:hanging="142"/>
      </w:pPr>
      <w:r>
        <w:rPr>
          <w:rFonts w:ascii="Arial" w:hAnsi="Arial" w:eastAsia="等线"/>
          <w:b w:val="0"/>
          <w:color w:val="000000"/>
          <w:sz w:val="21"/>
        </w:rPr>
        <w:t>分析：按robot family、DOF、G/A复杂度分层。</w:t>
      </w:r>
    </w:p>
    <w:p>
      <w:pPr>
        <w:pStyle w:val="Heading2"/>
        <w:spacing w:before="100" w:after="80"/>
      </w:pPr>
      <w:r>
        <w:rPr>
          <w:rFonts w:ascii="Arial" w:hAnsi="Arial" w:eastAsia="等线"/>
          <w:b/>
          <w:color w:val="000000"/>
          <w:sz w:val="25"/>
        </w:rPr>
        <w:t>实验2：复杂曲面退化实验（RQ2）</w:t>
      </w:r>
    </w:p>
    <w:p>
      <w:pPr>
        <w:pStyle w:val="ListBullet"/>
        <w:spacing w:after="40" w:line="288" w:lineRule="auto"/>
        <w:ind w:left="369" w:hanging="142"/>
      </w:pPr>
      <w:r>
        <w:rPr>
          <w:rFonts w:ascii="Arial" w:hAnsi="Arial" w:eastAsia="等线"/>
          <w:b w:val="0"/>
          <w:color w:val="000000"/>
          <w:sz w:val="21"/>
        </w:rPr>
        <w:t>按G1/G2/G3分组比较所有方法的Part IoU、Free-form CD、Normal Error。</w:t>
      </w:r>
    </w:p>
    <w:p>
      <w:pPr>
        <w:pStyle w:val="ListBullet"/>
        <w:spacing w:after="40" w:line="288" w:lineRule="auto"/>
        <w:ind w:left="369" w:hanging="142"/>
      </w:pPr>
      <w:r>
        <w:rPr>
          <w:rFonts w:ascii="Arial" w:hAnsi="Arial" w:eastAsia="等线"/>
          <w:b w:val="0"/>
          <w:color w:val="000000"/>
          <w:sz w:val="21"/>
        </w:rPr>
        <w:t>单独建立Complex Surface Diagnostic Track，抽取upper-arm housing、elbow housing、wrist housing等复杂link。</w:t>
      </w:r>
    </w:p>
    <w:p>
      <w:pPr>
        <w:pStyle w:val="ListBullet"/>
        <w:spacing w:after="40" w:line="288" w:lineRule="auto"/>
        <w:ind w:left="369" w:hanging="142"/>
      </w:pPr>
      <w:r>
        <w:rPr>
          <w:rFonts w:ascii="Arial" w:hAnsi="Arial" w:eastAsia="等线"/>
          <w:b w:val="0"/>
          <w:color w:val="000000"/>
          <w:sz w:val="21"/>
        </w:rPr>
        <w:t>在part-level与NURBS/复杂曲面专用方法比较，避免让只做单零件的方法参加完整装配主表。</w:t>
      </w:r>
    </w:p>
    <w:p>
      <w:pPr>
        <w:pStyle w:val="ListBullet"/>
        <w:spacing w:after="40" w:line="288" w:lineRule="auto"/>
        <w:ind w:left="369" w:hanging="142"/>
      </w:pPr>
      <w:r>
        <w:rPr>
          <w:rFonts w:ascii="Arial" w:hAnsi="Arial" w:eastAsia="等线"/>
          <w:b w:val="0"/>
          <w:color w:val="000000"/>
          <w:sz w:val="21"/>
        </w:rPr>
        <w:t>检验：G3相对G1的性能下降幅度，以及本文Surface-aware模块对G3的增益。</w:t>
      </w:r>
    </w:p>
    <w:p>
      <w:pPr>
        <w:pStyle w:val="Heading2"/>
        <w:spacing w:before="100" w:after="80"/>
      </w:pPr>
      <w:r>
        <w:rPr>
          <w:rFonts w:ascii="Arial" w:hAnsi="Arial" w:eastAsia="等线"/>
          <w:b/>
          <w:color w:val="000000"/>
          <w:sz w:val="25"/>
        </w:rPr>
        <w:t>实验3：装配复杂度退化实验（RQ3）</w:t>
      </w:r>
    </w:p>
    <w:p>
      <w:pPr>
        <w:pStyle w:val="ListBullet"/>
        <w:spacing w:after="40" w:line="288" w:lineRule="auto"/>
        <w:ind w:left="369" w:hanging="142"/>
      </w:pPr>
      <w:r>
        <w:rPr>
          <w:rFonts w:ascii="Arial" w:hAnsi="Arial" w:eastAsia="等线"/>
          <w:b w:val="0"/>
          <w:color w:val="000000"/>
          <w:sz w:val="21"/>
        </w:rPr>
        <w:t>按A1/A2/A3分组。</w:t>
      </w:r>
    </w:p>
    <w:p>
      <w:pPr>
        <w:pStyle w:val="ListBullet"/>
        <w:spacing w:after="40" w:line="288" w:lineRule="auto"/>
        <w:ind w:left="369" w:hanging="142"/>
      </w:pPr>
      <w:r>
        <w:rPr>
          <w:rFonts w:ascii="Arial" w:hAnsi="Arial" w:eastAsia="等线"/>
          <w:b w:val="0"/>
          <w:color w:val="000000"/>
          <w:sz w:val="21"/>
        </w:rPr>
        <w:t>观察Part Match F1、Assembly Graph F1、Joint Type、Axis Error、Origin Error、Multi-pose Error。</w:t>
      </w:r>
    </w:p>
    <w:p>
      <w:pPr>
        <w:pStyle w:val="ListBullet"/>
        <w:spacing w:after="40" w:line="288" w:lineRule="auto"/>
        <w:ind w:left="369" w:hanging="142"/>
      </w:pPr>
      <w:r>
        <w:rPr>
          <w:rFonts w:ascii="Arial" w:hAnsi="Arial" w:eastAsia="等线"/>
          <w:b w:val="0"/>
          <w:color w:val="000000"/>
          <w:sz w:val="21"/>
        </w:rPr>
        <w:t>额外比较“生成后再推理装配”与“提前规划connector/interface”的差异。</w:t>
      </w:r>
    </w:p>
    <w:p>
      <w:pPr>
        <w:pStyle w:val="Heading2"/>
        <w:spacing w:before="100" w:after="80"/>
      </w:pPr>
      <w:r>
        <w:rPr>
          <w:rFonts w:ascii="Arial" w:hAnsi="Arial" w:eastAsia="等线"/>
          <w:b/>
          <w:color w:val="000000"/>
          <w:sz w:val="25"/>
        </w:rPr>
        <w:t>实验4：Surface × Assembly交互效应（RQ4）</w:t>
      </w:r>
    </w:p>
    <w:p>
      <w:pPr>
        <w:spacing w:after="60" w:line="300" w:lineRule="auto"/>
        <w:ind w:left="0"/>
      </w:pPr>
      <w:r>
        <w:rPr>
          <w:rFonts w:ascii="Arial" w:hAnsi="Arial" w:eastAsia="等线"/>
          <w:b w:val="0"/>
          <w:color w:val="000000"/>
          <w:sz w:val="21"/>
        </w:rPr>
        <w:t>对9个G×A格子分别报告Geometry Score与Assembly/Kinematic Score热力图。可进行双因素回归/方差分析，检验surface complexity、assembly complexity及交互项。核心关注G3A3是否出现明显复合退化。</w:t>
      </w:r>
    </w:p>
    <w:p>
      <w:pPr>
        <w:pStyle w:val="Heading2"/>
        <w:spacing w:before="100" w:after="80"/>
      </w:pPr>
      <w:r>
        <w:rPr>
          <w:rFonts w:ascii="Arial" w:hAnsi="Arial" w:eastAsia="等线"/>
          <w:b/>
          <w:color w:val="000000"/>
          <w:sz w:val="25"/>
        </w:rPr>
        <w:t>实验5：方法主实验（RQ5）</w:t>
      </w:r>
    </w:p>
    <w:p>
      <w:pPr>
        <w:spacing w:after="60" w:line="300" w:lineRule="auto"/>
        <w:ind w:left="0"/>
      </w:pPr>
      <w:r>
        <w:rPr>
          <w:rFonts w:ascii="Arial" w:hAnsi="Arial" w:eastAsia="等线"/>
          <w:b w:val="0"/>
          <w:color w:val="000000"/>
          <w:sz w:val="21"/>
        </w:rPr>
        <w:t>在相同基础模型、相同输入、相同API/工具预算、相同最大修复轮数和相同执行时间限制下，对比本文方法与各基线。重点报告高复杂度G3A3区间的绝对增益和相对增益，而不只报告总体均值。</w:t>
      </w:r>
    </w:p>
    <w:p>
      <w:pPr>
        <w:pStyle w:val="Heading2"/>
        <w:spacing w:before="100" w:after="80"/>
      </w:pPr>
      <w:r>
        <w:rPr>
          <w:rFonts w:ascii="Arial" w:hAnsi="Arial" w:eastAsia="等线"/>
          <w:b/>
          <w:color w:val="000000"/>
          <w:sz w:val="25"/>
        </w:rPr>
        <w:t>实验6：消融实验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5"/>
        <w:gridCol w:w="1605"/>
        <w:gridCol w:w="1605"/>
        <w:gridCol w:w="1605"/>
        <w:gridCol w:w="1605"/>
        <w:gridCol w:w="1605"/>
      </w:tblGrid>
      <w:tr>
        <w:trPr>
          <w:tblHeader w:val="true"/>
        </w:trPr>
        <w:tc>
          <w:tcPr>
            <w:tcW w:type="dxa" w:w="16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after="0" w:line="264" w:lineRule="auto"/>
            </w:pPr>
            <w:r>
              <w:rPr>
                <w:rFonts w:ascii="Arial" w:hAnsi="Arial" w:eastAsia="等线"/>
                <w:b/>
                <w:color w:val="000000"/>
                <w:sz w:val="19"/>
              </w:rPr>
              <w:t>Variant</w:t>
            </w:r>
          </w:p>
        </w:tc>
        <w:tc>
          <w:tcPr>
            <w:tcW w:type="dxa" w:w="16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after="0" w:line="264" w:lineRule="auto"/>
            </w:pPr>
            <w:r>
              <w:rPr>
                <w:rFonts w:ascii="Arial" w:hAnsi="Arial" w:eastAsia="等线"/>
                <w:b/>
                <w:color w:val="000000"/>
                <w:sz w:val="19"/>
              </w:rPr>
              <w:t>Kinematic</w:t>
            </w:r>
          </w:p>
        </w:tc>
        <w:tc>
          <w:tcPr>
            <w:tcW w:type="dxa" w:w="16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after="0" w:line="264" w:lineRule="auto"/>
            </w:pPr>
            <w:r>
              <w:rPr>
                <w:rFonts w:ascii="Arial" w:hAnsi="Arial" w:eastAsia="等线"/>
                <w:b/>
                <w:color w:val="000000"/>
                <w:sz w:val="19"/>
              </w:rPr>
              <w:t>Interface</w:t>
            </w:r>
          </w:p>
        </w:tc>
        <w:tc>
          <w:tcPr>
            <w:tcW w:type="dxa" w:w="16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after="0" w:line="264" w:lineRule="auto"/>
            </w:pPr>
            <w:r>
              <w:rPr>
                <w:rFonts w:ascii="Arial" w:hAnsi="Arial" w:eastAsia="等线"/>
                <w:b/>
                <w:color w:val="000000"/>
                <w:sz w:val="19"/>
              </w:rPr>
              <w:t>Surface</w:t>
            </w:r>
          </w:p>
        </w:tc>
        <w:tc>
          <w:tcPr>
            <w:tcW w:type="dxa" w:w="16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after="0" w:line="264" w:lineRule="auto"/>
            </w:pPr>
            <w:r>
              <w:rPr>
                <w:rFonts w:ascii="Arial" w:hAnsi="Arial" w:eastAsia="等线"/>
                <w:b/>
                <w:color w:val="000000"/>
                <w:sz w:val="19"/>
              </w:rPr>
              <w:t>Geo Feedback</w:t>
            </w:r>
          </w:p>
        </w:tc>
        <w:tc>
          <w:tcPr>
            <w:tcW w:type="dxa" w:w="16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after="0" w:line="264" w:lineRule="auto"/>
            </w:pPr>
            <w:r>
              <w:rPr>
                <w:rFonts w:ascii="Arial" w:hAnsi="Arial" w:eastAsia="等线"/>
                <w:b/>
                <w:color w:val="000000"/>
                <w:sz w:val="19"/>
              </w:rPr>
              <w:t>Kin Feedback</w:t>
            </w:r>
          </w:p>
        </w:tc>
      </w:tr>
      <w:tr>
        <w:tc>
          <w:tcPr>
            <w:tcW w:type="dxa" w:w="16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Base</w:t>
            </w:r>
          </w:p>
        </w:tc>
        <w:tc>
          <w:tcPr>
            <w:tcW w:type="dxa" w:w="16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×</w:t>
            </w:r>
          </w:p>
        </w:tc>
        <w:tc>
          <w:tcPr>
            <w:tcW w:type="dxa" w:w="16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×</w:t>
            </w:r>
          </w:p>
        </w:tc>
        <w:tc>
          <w:tcPr>
            <w:tcW w:type="dxa" w:w="16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×</w:t>
            </w:r>
          </w:p>
        </w:tc>
        <w:tc>
          <w:tcPr>
            <w:tcW w:type="dxa" w:w="16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×</w:t>
            </w:r>
          </w:p>
        </w:tc>
        <w:tc>
          <w:tcPr>
            <w:tcW w:type="dxa" w:w="16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×</w:t>
            </w:r>
          </w:p>
        </w:tc>
      </w:tr>
      <w:tr>
        <w:tc>
          <w:tcPr>
            <w:tcW w:type="dxa" w:w="16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+K</w:t>
            </w:r>
          </w:p>
        </w:tc>
        <w:tc>
          <w:tcPr>
            <w:tcW w:type="dxa" w:w="16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✓</w:t>
            </w:r>
          </w:p>
        </w:tc>
        <w:tc>
          <w:tcPr>
            <w:tcW w:type="dxa" w:w="16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×</w:t>
            </w:r>
          </w:p>
        </w:tc>
        <w:tc>
          <w:tcPr>
            <w:tcW w:type="dxa" w:w="16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×</w:t>
            </w:r>
          </w:p>
        </w:tc>
        <w:tc>
          <w:tcPr>
            <w:tcW w:type="dxa" w:w="16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×</w:t>
            </w:r>
          </w:p>
        </w:tc>
        <w:tc>
          <w:tcPr>
            <w:tcW w:type="dxa" w:w="16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×</w:t>
            </w:r>
          </w:p>
        </w:tc>
      </w:tr>
      <w:tr>
        <w:tc>
          <w:tcPr>
            <w:tcW w:type="dxa" w:w="16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+KI</w:t>
            </w:r>
          </w:p>
        </w:tc>
        <w:tc>
          <w:tcPr>
            <w:tcW w:type="dxa" w:w="16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✓</w:t>
            </w:r>
          </w:p>
        </w:tc>
        <w:tc>
          <w:tcPr>
            <w:tcW w:type="dxa" w:w="16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✓</w:t>
            </w:r>
          </w:p>
        </w:tc>
        <w:tc>
          <w:tcPr>
            <w:tcW w:type="dxa" w:w="16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×</w:t>
            </w:r>
          </w:p>
        </w:tc>
        <w:tc>
          <w:tcPr>
            <w:tcW w:type="dxa" w:w="16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×</w:t>
            </w:r>
          </w:p>
        </w:tc>
        <w:tc>
          <w:tcPr>
            <w:tcW w:type="dxa" w:w="16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×</w:t>
            </w:r>
          </w:p>
        </w:tc>
      </w:tr>
      <w:tr>
        <w:tc>
          <w:tcPr>
            <w:tcW w:type="dxa" w:w="16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+KIS</w:t>
            </w:r>
          </w:p>
        </w:tc>
        <w:tc>
          <w:tcPr>
            <w:tcW w:type="dxa" w:w="16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✓</w:t>
            </w:r>
          </w:p>
        </w:tc>
        <w:tc>
          <w:tcPr>
            <w:tcW w:type="dxa" w:w="16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✓</w:t>
            </w:r>
          </w:p>
        </w:tc>
        <w:tc>
          <w:tcPr>
            <w:tcW w:type="dxa" w:w="16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✓</w:t>
            </w:r>
          </w:p>
        </w:tc>
        <w:tc>
          <w:tcPr>
            <w:tcW w:type="dxa" w:w="16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×</w:t>
            </w:r>
          </w:p>
        </w:tc>
        <w:tc>
          <w:tcPr>
            <w:tcW w:type="dxa" w:w="16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×</w:t>
            </w:r>
          </w:p>
        </w:tc>
      </w:tr>
      <w:tr>
        <w:tc>
          <w:tcPr>
            <w:tcW w:type="dxa" w:w="16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+KISG</w:t>
            </w:r>
          </w:p>
        </w:tc>
        <w:tc>
          <w:tcPr>
            <w:tcW w:type="dxa" w:w="16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✓</w:t>
            </w:r>
          </w:p>
        </w:tc>
        <w:tc>
          <w:tcPr>
            <w:tcW w:type="dxa" w:w="16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✓</w:t>
            </w:r>
          </w:p>
        </w:tc>
        <w:tc>
          <w:tcPr>
            <w:tcW w:type="dxa" w:w="16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✓</w:t>
            </w:r>
          </w:p>
        </w:tc>
        <w:tc>
          <w:tcPr>
            <w:tcW w:type="dxa" w:w="16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✓</w:t>
            </w:r>
          </w:p>
        </w:tc>
        <w:tc>
          <w:tcPr>
            <w:tcW w:type="dxa" w:w="16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×</w:t>
            </w:r>
          </w:p>
        </w:tc>
      </w:tr>
      <w:tr>
        <w:tc>
          <w:tcPr>
            <w:tcW w:type="dxa" w:w="16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Full</w:t>
            </w:r>
          </w:p>
        </w:tc>
        <w:tc>
          <w:tcPr>
            <w:tcW w:type="dxa" w:w="16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✓</w:t>
            </w:r>
          </w:p>
        </w:tc>
        <w:tc>
          <w:tcPr>
            <w:tcW w:type="dxa" w:w="16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✓</w:t>
            </w:r>
          </w:p>
        </w:tc>
        <w:tc>
          <w:tcPr>
            <w:tcW w:type="dxa" w:w="16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✓</w:t>
            </w:r>
          </w:p>
        </w:tc>
        <w:tc>
          <w:tcPr>
            <w:tcW w:type="dxa" w:w="16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✓</w:t>
            </w:r>
          </w:p>
        </w:tc>
        <w:tc>
          <w:tcPr>
            <w:tcW w:type="dxa" w:w="16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等线"/>
                <w:b w:val="0"/>
                <w:color w:val="000000"/>
                <w:sz w:val="19"/>
              </w:rPr>
              <w:t>✓</w:t>
            </w:r>
          </w:p>
        </w:tc>
      </w:tr>
    </w:tbl>
    <w:p>
      <w:pPr>
        <w:spacing w:after="60" w:line="300" w:lineRule="auto"/>
        <w:ind w:left="0"/>
      </w:pPr>
      <w:r>
        <w:rPr>
          <w:rFonts w:ascii="Arial" w:hAnsi="Arial" w:eastAsia="等线"/>
          <w:b w:val="0"/>
          <w:color w:val="000000"/>
          <w:sz w:val="21"/>
        </w:rPr>
        <w:t>预期解释：+K/+I主要改善装配指标；+Surface主要改善G3复杂曲面；Geometry Feedback进一步改善曲面；Kinematic Feedback主要改善joint与multi-pose指标。</w:t>
      </w:r>
    </w:p>
    <w:p>
      <w:pPr>
        <w:pStyle w:val="Heading2"/>
        <w:spacing w:before="100" w:after="80"/>
      </w:pPr>
      <w:r>
        <w:rPr>
          <w:rFonts w:ascii="Arial" w:hAnsi="Arial" w:eastAsia="等线"/>
          <w:b/>
          <w:color w:val="000000"/>
          <w:sz w:val="25"/>
        </w:rPr>
        <w:t>实验7：多模态输入分析</w:t>
      </w:r>
    </w:p>
    <w:p>
      <w:pPr>
        <w:pStyle w:val="ListBullet"/>
        <w:spacing w:after="40" w:line="288" w:lineRule="auto"/>
        <w:ind w:left="369" w:hanging="142"/>
      </w:pPr>
      <w:r>
        <w:rPr>
          <w:rFonts w:ascii="Arial" w:hAnsi="Arial" w:eastAsia="等线"/>
          <w:b w:val="0"/>
          <w:color w:val="000000"/>
          <w:sz w:val="21"/>
        </w:rPr>
        <w:t>T vs I：文字是否更擅长尺寸/结构，图像是否更擅长复杂外形。</w:t>
      </w:r>
    </w:p>
    <w:p>
      <w:pPr>
        <w:pStyle w:val="ListBullet"/>
        <w:spacing w:after="40" w:line="288" w:lineRule="auto"/>
        <w:ind w:left="369" w:hanging="142"/>
      </w:pPr>
      <w:r>
        <w:rPr>
          <w:rFonts w:ascii="Arial" w:hAnsi="Arial" w:eastAsia="等线"/>
          <w:b w:val="0"/>
          <w:color w:val="000000"/>
          <w:sz w:val="21"/>
        </w:rPr>
        <w:t>T+I vs max(T,I)：验证真正的模态互补，而不是简单增加信息量。</w:t>
      </w:r>
    </w:p>
    <w:p>
      <w:pPr>
        <w:pStyle w:val="ListBullet"/>
        <w:spacing w:after="40" w:line="288" w:lineRule="auto"/>
        <w:ind w:left="369" w:hanging="142"/>
      </w:pPr>
      <w:r>
        <w:rPr>
          <w:rFonts w:ascii="Arial" w:hAnsi="Arial" w:eastAsia="等线"/>
          <w:b w:val="0"/>
          <w:color w:val="000000"/>
          <w:sz w:val="21"/>
        </w:rPr>
        <w:t>Concise vs Detailed Text：分析输入信息量与IoU/结构恢复的关系。</w:t>
      </w:r>
    </w:p>
    <w:p>
      <w:pPr>
        <w:pStyle w:val="ListBullet"/>
        <w:spacing w:after="40" w:line="288" w:lineRule="auto"/>
        <w:ind w:left="369" w:hanging="142"/>
      </w:pPr>
      <w:r>
        <w:rPr>
          <w:rFonts w:ascii="Arial" w:hAnsi="Arial" w:eastAsia="等线"/>
          <w:b w:val="0"/>
          <w:color w:val="000000"/>
          <w:sz w:val="21"/>
        </w:rPr>
        <w:t>Single-view Challenge vs Multi-view Main：评估遮挡和视觉不确定性。</w:t>
      </w:r>
    </w:p>
    <w:p>
      <w:pPr>
        <w:pStyle w:val="Heading2"/>
        <w:spacing w:before="100" w:after="80"/>
      </w:pPr>
      <w:r>
        <w:rPr>
          <w:rFonts w:ascii="Arial" w:hAnsi="Arial" w:eastAsia="等线"/>
          <w:b/>
          <w:color w:val="000000"/>
          <w:sz w:val="25"/>
        </w:rPr>
        <w:t>实验8：泛化与防记忆实验</w:t>
      </w:r>
    </w:p>
    <w:p>
      <w:pPr>
        <w:pStyle w:val="ListBullet"/>
        <w:spacing w:after="40" w:line="288" w:lineRule="auto"/>
        <w:ind w:left="369" w:hanging="142"/>
      </w:pPr>
      <w:r>
        <w:rPr>
          <w:rFonts w:ascii="Arial" w:hAnsi="Arial" w:eastAsia="等线"/>
          <w:b w:val="0"/>
          <w:color w:val="000000"/>
          <w:sz w:val="21"/>
        </w:rPr>
        <w:t>匿名化品牌/型号和logo，不允许prompt直接出现UR5、Panda等型号名。</w:t>
      </w:r>
    </w:p>
    <w:p>
      <w:pPr>
        <w:pStyle w:val="ListBullet"/>
        <w:spacing w:after="40" w:line="288" w:lineRule="auto"/>
        <w:ind w:left="369" w:hanging="142"/>
      </w:pPr>
      <w:r>
        <w:rPr>
          <w:rFonts w:ascii="Arial" w:hAnsi="Arial" w:eastAsia="等线"/>
          <w:b w:val="0"/>
          <w:color w:val="000000"/>
          <w:sz w:val="21"/>
        </w:rPr>
        <w:t>按robot family划分开发/测试，不允许同型号不同视角跨集合。</w:t>
      </w:r>
    </w:p>
    <w:p>
      <w:pPr>
        <w:pStyle w:val="ListBullet"/>
        <w:spacing w:after="40" w:line="288" w:lineRule="auto"/>
        <w:ind w:left="369" w:hanging="142"/>
      </w:pPr>
      <w:r>
        <w:rPr>
          <w:rFonts w:ascii="Arial" w:hAnsi="Arial" w:eastAsia="等线"/>
          <w:b w:val="0"/>
          <w:color w:val="000000"/>
          <w:sz w:val="21"/>
        </w:rPr>
        <w:t>Controlled Set中加入未见过的比例、joint axis布局和曲面组合。</w:t>
      </w:r>
    </w:p>
    <w:p>
      <w:pPr>
        <w:pStyle w:val="ListBullet"/>
        <w:spacing w:after="40" w:line="288" w:lineRule="auto"/>
        <w:ind w:left="369" w:hanging="142"/>
      </w:pPr>
      <w:r>
        <w:rPr>
          <w:rFonts w:ascii="Arial" w:hAnsi="Arial" w:eastAsia="等线"/>
          <w:b w:val="0"/>
          <w:color w:val="000000"/>
          <w:sz w:val="21"/>
        </w:rPr>
        <w:t>报告真实机器人与synthetic-controlled机器人的性能差异。</w:t>
      </w:r>
    </w:p>
    <w:p>
      <w:pPr>
        <w:pStyle w:val="Heading1"/>
        <w:spacing w:before="160" w:after="80"/>
      </w:pPr>
      <w:r>
        <w:rPr>
          <w:rFonts w:ascii="Arial" w:hAnsi="Arial" w:eastAsia="等线"/>
          <w:b/>
          <w:color w:val="000000"/>
          <w:sz w:val="28"/>
        </w:rPr>
        <w:t>十一、Baseline与公平性原则</w:t>
      </w:r>
    </w:p>
    <w:p>
      <w:pPr>
        <w:pStyle w:val="ListBullet"/>
        <w:spacing w:after="40" w:line="288" w:lineRule="auto"/>
        <w:ind w:left="369" w:hanging="142"/>
      </w:pPr>
      <w:r>
        <w:rPr>
          <w:rFonts w:ascii="Arial" w:hAnsi="Arial" w:eastAsia="等线"/>
          <w:b w:val="0"/>
          <w:color w:val="000000"/>
          <w:sz w:val="21"/>
        </w:rPr>
        <w:t>所有Agent基线尽量使用相同基础LLM/VLM，以分离“工作流贡献”和“底座模型能力”。</w:t>
      </w:r>
    </w:p>
    <w:p>
      <w:pPr>
        <w:pStyle w:val="ListBullet"/>
        <w:spacing w:after="40" w:line="288" w:lineRule="auto"/>
        <w:ind w:left="369" w:hanging="142"/>
      </w:pPr>
      <w:r>
        <w:rPr>
          <w:rFonts w:ascii="Arial" w:hAnsi="Arial" w:eastAsia="等线"/>
          <w:b w:val="0"/>
          <w:color w:val="000000"/>
          <w:sz w:val="21"/>
        </w:rPr>
        <w:t>统一最大token、工具调用次数、修复轮数和时间预算。</w:t>
      </w:r>
    </w:p>
    <w:p>
      <w:pPr>
        <w:pStyle w:val="ListBullet"/>
        <w:spacing w:after="40" w:line="288" w:lineRule="auto"/>
        <w:ind w:left="369" w:hanging="142"/>
      </w:pPr>
      <w:r>
        <w:rPr>
          <w:rFonts w:ascii="Arial" w:hAnsi="Arial" w:eastAsia="等线"/>
          <w:b w:val="0"/>
          <w:color w:val="000000"/>
          <w:sz w:val="21"/>
        </w:rPr>
        <w:t>统一几何后端或至少统一最终STEP/STL解析与评测。</w:t>
      </w:r>
    </w:p>
    <w:p>
      <w:pPr>
        <w:pStyle w:val="ListBullet"/>
        <w:spacing w:after="40" w:line="288" w:lineRule="auto"/>
        <w:ind w:left="369" w:hanging="142"/>
      </w:pPr>
      <w:r>
        <w:rPr>
          <w:rFonts w:ascii="Arial" w:hAnsi="Arial" w:eastAsia="等线"/>
          <w:b w:val="0"/>
          <w:color w:val="000000"/>
          <w:sz w:val="21"/>
        </w:rPr>
        <w:t>对于只支持单零件曲面的NURBS类方法，仅放入Surface Diagnostic Track，不在完整装配主表中强行比较。</w:t>
      </w:r>
    </w:p>
    <w:p>
      <w:pPr>
        <w:pStyle w:val="ListBullet"/>
        <w:spacing w:after="40" w:line="288" w:lineRule="auto"/>
        <w:ind w:left="369" w:hanging="142"/>
      </w:pPr>
      <w:r>
        <w:rPr>
          <w:rFonts w:ascii="Arial" w:hAnsi="Arial" w:eastAsia="等线"/>
          <w:b w:val="0"/>
          <w:color w:val="000000"/>
          <w:sz w:val="21"/>
        </w:rPr>
        <w:t>对于不能输出URDF的系统，共同评价其可生成部分；完整系统层单独报告CAD+Kinematics联合能力。</w:t>
      </w:r>
    </w:p>
    <w:p>
      <w:pPr>
        <w:pStyle w:val="Heading1"/>
        <w:spacing w:before="160" w:after="80"/>
      </w:pPr>
      <w:r>
        <w:rPr>
          <w:rFonts w:ascii="Arial" w:hAnsi="Arial" w:eastAsia="等线"/>
          <w:b/>
          <w:color w:val="000000"/>
          <w:sz w:val="28"/>
        </w:rPr>
        <w:t>十二、预计论文贡献</w:t>
      </w:r>
    </w:p>
    <w:p>
      <w:pPr>
        <w:pStyle w:val="ListNumber"/>
        <w:spacing w:after="40" w:line="288" w:lineRule="auto"/>
        <w:ind w:left="369" w:hanging="142"/>
      </w:pPr>
      <w:r>
        <w:rPr>
          <w:rFonts w:ascii="Arial" w:hAnsi="Arial" w:eastAsia="等线"/>
          <w:b w:val="0"/>
          <w:color w:val="000000"/>
          <w:sz w:val="21"/>
        </w:rPr>
        <w:t>Benchmark：建立面向机械臂的高信息密度CAD生成Benchmark，同时标注精确B-Rep曲面、分零件几何、装配结构、关节运动学和多姿态真值。</w:t>
      </w:r>
    </w:p>
    <w:p>
      <w:pPr>
        <w:pStyle w:val="ListNumber"/>
        <w:spacing w:after="40" w:line="288" w:lineRule="auto"/>
        <w:ind w:left="369" w:hanging="142"/>
      </w:pPr>
      <w:r>
        <w:rPr>
          <w:rFonts w:ascii="Arial" w:hAnsi="Arial" w:eastAsia="等线"/>
          <w:b w:val="0"/>
          <w:color w:val="000000"/>
          <w:sz w:val="21"/>
        </w:rPr>
        <w:t>Complexity Analysis：提出Surface × Assembly二维实验范式，系统揭示当前AI CAD在两个复杂度维度及其交互下的能力边界。</w:t>
      </w:r>
    </w:p>
    <w:p>
      <w:pPr>
        <w:pStyle w:val="ListNumber"/>
        <w:spacing w:after="40" w:line="288" w:lineRule="auto"/>
        <w:ind w:left="369" w:hanging="142"/>
      </w:pPr>
      <w:r>
        <w:rPr>
          <w:rFonts w:ascii="Arial" w:hAnsi="Arial" w:eastAsia="等线"/>
          <w:b w:val="0"/>
          <w:color w:val="000000"/>
          <w:sz w:val="21"/>
        </w:rPr>
        <w:t>Method：提出Kinematic-first、Interface-first和Surface-aware的机械臂生成工作流，在不牺牲关节/接口正确性的前提下提高复杂曲面几何质量。</w:t>
      </w:r>
    </w:p>
    <w:p>
      <w:pPr>
        <w:pStyle w:val="ListNumber"/>
        <w:spacing w:after="40" w:line="288" w:lineRule="auto"/>
        <w:ind w:left="369" w:hanging="142"/>
      </w:pPr>
      <w:r>
        <w:rPr>
          <w:rFonts w:ascii="Arial" w:hAnsi="Arial" w:eastAsia="等线"/>
          <w:b w:val="0"/>
          <w:color w:val="000000"/>
          <w:sz w:val="21"/>
        </w:rPr>
        <w:t>Deterministic Evaluation：使用几何、曲面、装配图、joint和多姿态运动学指标进行确定性评价，主结果不依赖AI Judge。</w:t>
      </w:r>
    </w:p>
    <w:p>
      <w:pPr>
        <w:pStyle w:val="Heading1"/>
        <w:spacing w:before="160" w:after="80"/>
      </w:pPr>
      <w:r>
        <w:rPr>
          <w:rFonts w:ascii="Arial" w:hAnsi="Arial" w:eastAsia="等线"/>
          <w:b/>
          <w:color w:val="000000"/>
          <w:sz w:val="28"/>
        </w:rPr>
        <w:t>十三、主要风险与备选方案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tblHeader w:val="true"/>
        </w:trPr>
        <w:tc>
          <w:tcPr>
            <w:tcW w:type="dxa" w:w="3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after="0" w:line="264" w:lineRule="auto"/>
            </w:pPr>
            <w:r>
              <w:rPr>
                <w:rFonts w:ascii="Arial" w:hAnsi="Arial" w:eastAsia="等线"/>
                <w:b/>
                <w:color w:val="000000"/>
                <w:sz w:val="18"/>
              </w:rPr>
              <w:t>风险</w:t>
            </w:r>
          </w:p>
        </w:tc>
        <w:tc>
          <w:tcPr>
            <w:tcW w:type="dxa" w:w="3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after="0" w:line="264" w:lineRule="auto"/>
            </w:pPr>
            <w:r>
              <w:rPr>
                <w:rFonts w:ascii="Arial" w:hAnsi="Arial" w:eastAsia="等线"/>
                <w:b/>
                <w:color w:val="000000"/>
                <w:sz w:val="18"/>
              </w:rPr>
              <w:t>判断</w:t>
            </w:r>
          </w:p>
        </w:tc>
        <w:tc>
          <w:tcPr>
            <w:tcW w:type="dxa" w:w="3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after="0" w:line="264" w:lineRule="auto"/>
            </w:pPr>
            <w:r>
              <w:rPr>
                <w:rFonts w:ascii="Arial" w:hAnsi="Arial" w:eastAsia="等线"/>
                <w:b/>
                <w:color w:val="000000"/>
                <w:sz w:val="18"/>
              </w:rPr>
              <w:t>备选方案</w:t>
            </w:r>
          </w:p>
        </w:tc>
      </w:tr>
      <w:tr>
        <w:tc>
          <w:tcPr>
            <w:tcW w:type="dxa" w:w="3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等线"/>
                <w:b w:val="0"/>
                <w:color w:val="000000"/>
                <w:sz w:val="18"/>
              </w:rPr>
              <w:t>真实机械臂自由曲面占比不足</w:t>
            </w:r>
          </w:p>
        </w:tc>
        <w:tc>
          <w:tcPr>
            <w:tcW w:type="dxa" w:w="3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等线"/>
                <w:b w:val="0"/>
                <w:color w:val="000000"/>
                <w:sz w:val="18"/>
              </w:rPr>
              <w:t>高风险，必须先验证</w:t>
            </w:r>
          </w:p>
        </w:tc>
        <w:tc>
          <w:tcPr>
            <w:tcW w:type="dxa" w:w="3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等线"/>
                <w:b w:val="0"/>
                <w:color w:val="000000"/>
                <w:sz w:val="18"/>
              </w:rPr>
              <w:t>将“free-form surface”改为更广的“complex part geometry”，覆盖loft/sweep/shell/fillet/blend等</w:t>
            </w:r>
          </w:p>
        </w:tc>
      </w:tr>
      <w:tr>
        <w:tc>
          <w:tcPr>
            <w:tcW w:type="dxa" w:w="3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等线"/>
                <w:b w:val="0"/>
                <w:color w:val="000000"/>
                <w:sz w:val="18"/>
              </w:rPr>
              <w:t>STEP只含融合solid或装配层级丢失</w:t>
            </w:r>
          </w:p>
        </w:tc>
        <w:tc>
          <w:tcPr>
            <w:tcW w:type="dxa" w:w="3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等线"/>
                <w:b w:val="0"/>
                <w:color w:val="000000"/>
                <w:sz w:val="18"/>
              </w:rPr>
              <w:t>中风险</w:t>
            </w:r>
          </w:p>
        </w:tc>
        <w:tc>
          <w:tcPr>
            <w:tcW w:type="dxa" w:w="3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等线"/>
                <w:b w:val="0"/>
                <w:color w:val="000000"/>
                <w:sz w:val="18"/>
              </w:rPr>
              <w:t>筛选Assembly STEP；必要时按URDF/link mesh人工分件</w:t>
            </w:r>
          </w:p>
        </w:tc>
      </w:tr>
      <w:tr>
        <w:tc>
          <w:tcPr>
            <w:tcW w:type="dxa" w:w="3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等线"/>
                <w:b w:val="0"/>
                <w:color w:val="000000"/>
                <w:sz w:val="18"/>
              </w:rPr>
              <w:t>STEP缺乏joint真值</w:t>
            </w:r>
          </w:p>
        </w:tc>
        <w:tc>
          <w:tcPr>
            <w:tcW w:type="dxa" w:w="3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等线"/>
                <w:b w:val="0"/>
                <w:color w:val="000000"/>
                <w:sz w:val="18"/>
              </w:rPr>
              <w:t>常见</w:t>
            </w:r>
          </w:p>
        </w:tc>
        <w:tc>
          <w:tcPr>
            <w:tcW w:type="dxa" w:w="3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等线"/>
                <w:b w:val="0"/>
                <w:color w:val="000000"/>
                <w:sz w:val="18"/>
              </w:rPr>
              <w:t>配对官方/开源URDF；少量样本人工核验joint</w:t>
            </w:r>
          </w:p>
        </w:tc>
      </w:tr>
      <w:tr>
        <w:tc>
          <w:tcPr>
            <w:tcW w:type="dxa" w:w="3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等线"/>
                <w:b w:val="0"/>
                <w:color w:val="000000"/>
                <w:sz w:val="18"/>
              </w:rPr>
              <w:t>SOTA在机械臂上并未明显退化</w:t>
            </w:r>
          </w:p>
        </w:tc>
        <w:tc>
          <w:tcPr>
            <w:tcW w:type="dxa" w:w="3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等线"/>
                <w:b w:val="0"/>
                <w:color w:val="000000"/>
                <w:sz w:val="18"/>
              </w:rPr>
              <w:t>Go/No-Go风险</w:t>
            </w:r>
          </w:p>
        </w:tc>
        <w:tc>
          <w:tcPr>
            <w:tcW w:type="dxa" w:w="3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等线"/>
                <w:b w:val="0"/>
                <w:color w:val="000000"/>
                <w:sz w:val="18"/>
              </w:rPr>
              <w:t>先用5-10台高复杂机器人跑Direct + CADIR/ArtiCAD pilot，确认差距再投入方法研发</w:t>
            </w:r>
          </w:p>
        </w:tc>
      </w:tr>
      <w:tr>
        <w:tc>
          <w:tcPr>
            <w:tcW w:type="dxa" w:w="3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等线"/>
                <w:b w:val="0"/>
                <w:color w:val="000000"/>
                <w:sz w:val="18"/>
              </w:rPr>
              <w:t>数据规模小于通用CADBench</w:t>
            </w:r>
          </w:p>
        </w:tc>
        <w:tc>
          <w:tcPr>
            <w:tcW w:type="dxa" w:w="3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等线"/>
                <w:b w:val="0"/>
                <w:color w:val="000000"/>
                <w:sz w:val="18"/>
              </w:rPr>
              <w:t>可接受</w:t>
            </w:r>
          </w:p>
        </w:tc>
        <w:tc>
          <w:tcPr>
            <w:tcW w:type="dxa" w:w="3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等线"/>
                <w:b w:val="0"/>
                <w:color w:val="000000"/>
                <w:sz w:val="18"/>
              </w:rPr>
              <w:t>强调每个样本包含B-Rep surface + part + assembly + kinematic多层真值，并使用Controlled Set增强覆盖</w:t>
            </w:r>
          </w:p>
        </w:tc>
      </w:tr>
      <w:tr>
        <w:tc>
          <w:tcPr>
            <w:tcW w:type="dxa" w:w="3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等线"/>
                <w:b w:val="0"/>
                <w:color w:val="000000"/>
                <w:sz w:val="18"/>
              </w:rPr>
              <w:t>提升仅来自模板或领域先验</w:t>
            </w:r>
          </w:p>
        </w:tc>
        <w:tc>
          <w:tcPr>
            <w:tcW w:type="dxa" w:w="3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等线"/>
                <w:b w:val="0"/>
                <w:color w:val="000000"/>
                <w:sz w:val="18"/>
              </w:rPr>
              <w:t>高审稿风险</w:t>
            </w:r>
          </w:p>
        </w:tc>
        <w:tc>
          <w:tcPr>
            <w:tcW w:type="dxa" w:w="3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等线"/>
                <w:b w:val="0"/>
                <w:color w:val="000000"/>
                <w:sz w:val="18"/>
              </w:rPr>
              <w:t>使用未见family/未见拓扑/未见曲面组合测试，并与nearest-template baseline比较</w:t>
            </w:r>
          </w:p>
        </w:tc>
      </w:tr>
    </w:tbl>
    <w:p>
      <w:pPr>
        <w:pStyle w:val="Heading1"/>
        <w:spacing w:before="160" w:after="80"/>
      </w:pPr>
      <w:r>
        <w:rPr>
          <w:rFonts w:ascii="Arial" w:hAnsi="Arial" w:eastAsia="等线"/>
          <w:b/>
          <w:color w:val="000000"/>
          <w:sz w:val="28"/>
        </w:rPr>
        <w:t>十四、预期论文结构</w:t>
      </w:r>
    </w:p>
    <w:p>
      <w:pPr>
        <w:pStyle w:val="ListBullet"/>
        <w:spacing w:after="40" w:line="288" w:lineRule="auto"/>
        <w:ind w:left="369" w:hanging="142"/>
      </w:pPr>
      <w:r>
        <w:rPr>
          <w:rFonts w:ascii="Arial" w:hAnsi="Arial" w:eastAsia="等线"/>
          <w:b w:val="0"/>
          <w:color w:val="000000"/>
          <w:sz w:val="21"/>
        </w:rPr>
        <w:t>1 Introduction：提出“复杂曲面 × 复杂装配”的耦合瓶颈与机械臂场景。</w:t>
      </w:r>
    </w:p>
    <w:p>
      <w:pPr>
        <w:pStyle w:val="ListBullet"/>
        <w:spacing w:after="40" w:line="288" w:lineRule="auto"/>
        <w:ind w:left="369" w:hanging="142"/>
      </w:pPr>
      <w:r>
        <w:rPr>
          <w:rFonts w:ascii="Arial" w:hAnsi="Arial" w:eastAsia="等线"/>
          <w:b w:val="0"/>
          <w:color w:val="000000"/>
          <w:sz w:val="21"/>
        </w:rPr>
        <w:t>2 Related Work：通用CAD生成、装配/关节式生成、复杂曲面CAD、机器人数字模型。</w:t>
      </w:r>
    </w:p>
    <w:p>
      <w:pPr>
        <w:pStyle w:val="ListBullet"/>
        <w:spacing w:after="40" w:line="288" w:lineRule="auto"/>
        <w:ind w:left="369" w:hanging="142"/>
      </w:pPr>
      <w:r>
        <w:rPr>
          <w:rFonts w:ascii="Arial" w:hAnsi="Arial" w:eastAsia="等线"/>
          <w:b w:val="0"/>
          <w:color w:val="000000"/>
          <w:sz w:val="21"/>
        </w:rPr>
        <w:t>3 RoboCAD-Bench：数据来源、真实/可控集合、输入模态、GT与复杂度定义。</w:t>
      </w:r>
    </w:p>
    <w:p>
      <w:pPr>
        <w:pStyle w:val="ListBullet"/>
        <w:spacing w:after="40" w:line="288" w:lineRule="auto"/>
        <w:ind w:left="369" w:hanging="142"/>
      </w:pPr>
      <w:r>
        <w:rPr>
          <w:rFonts w:ascii="Arial" w:hAnsi="Arial" w:eastAsia="等线"/>
          <w:b w:val="0"/>
          <w:color w:val="000000"/>
          <w:sz w:val="21"/>
        </w:rPr>
        <w:t>4 Method：Kinematic-first、Interface-first、Surface-aware、Deterministic Assembly、Dual Feedback。</w:t>
      </w:r>
    </w:p>
    <w:p>
      <w:pPr>
        <w:pStyle w:val="ListBullet"/>
        <w:spacing w:after="40" w:line="288" w:lineRule="auto"/>
        <w:ind w:left="369" w:hanging="142"/>
      </w:pPr>
      <w:r>
        <w:rPr>
          <w:rFonts w:ascii="Arial" w:hAnsi="Arial" w:eastAsia="等线"/>
          <w:b w:val="0"/>
          <w:color w:val="000000"/>
          <w:sz w:val="21"/>
        </w:rPr>
        <w:t>5 Deterministic Evaluation：几何、复杂曲面、装配图、joint、多姿态和参数化测试。</w:t>
      </w:r>
    </w:p>
    <w:p>
      <w:pPr>
        <w:pStyle w:val="ListBullet"/>
        <w:spacing w:after="40" w:line="288" w:lineRule="auto"/>
        <w:ind w:left="369" w:hanging="142"/>
      </w:pPr>
      <w:r>
        <w:rPr>
          <w:rFonts w:ascii="Arial" w:hAnsi="Arial" w:eastAsia="等线"/>
          <w:b w:val="0"/>
          <w:color w:val="000000"/>
          <w:sz w:val="21"/>
        </w:rPr>
        <w:t>6 Experiments：SOTA边界、G/A单因素、交互效应、主对比、消融、多模态和泛化。</w:t>
      </w:r>
    </w:p>
    <w:p>
      <w:pPr>
        <w:pStyle w:val="ListBullet"/>
        <w:spacing w:after="40" w:line="288" w:lineRule="auto"/>
        <w:ind w:left="369" w:hanging="142"/>
      </w:pPr>
      <w:r>
        <w:rPr>
          <w:rFonts w:ascii="Arial" w:hAnsi="Arial" w:eastAsia="等线"/>
          <w:b w:val="0"/>
          <w:color w:val="000000"/>
          <w:sz w:val="21"/>
        </w:rPr>
        <w:t>7 Discussion：错误模式、真实/可控数据差异、局限性与工程意义。</w:t>
      </w:r>
    </w:p>
    <w:p>
      <w:pPr>
        <w:pStyle w:val="ListBullet"/>
        <w:spacing w:after="40" w:line="288" w:lineRule="auto"/>
        <w:ind w:left="369" w:hanging="142"/>
      </w:pPr>
      <w:r>
        <w:rPr>
          <w:rFonts w:ascii="Arial" w:hAnsi="Arial" w:eastAsia="等线"/>
          <w:b w:val="0"/>
          <w:color w:val="000000"/>
          <w:sz w:val="21"/>
        </w:rPr>
        <w:t>8 Conclusion。</w:t>
      </w:r>
    </w:p>
    <w:p>
      <w:pPr>
        <w:pStyle w:val="Heading1"/>
        <w:spacing w:before="160" w:after="80"/>
      </w:pPr>
      <w:r>
        <w:rPr>
          <w:rFonts w:ascii="Arial" w:hAnsi="Arial" w:eastAsia="等线"/>
          <w:b/>
          <w:color w:val="000000"/>
          <w:sz w:val="28"/>
        </w:rPr>
        <w:t>十五、论文推进工作顺序</w:t>
      </w:r>
    </w:p>
    <w:p>
      <w:pPr>
        <w:spacing w:after="60" w:line="300" w:lineRule="auto"/>
        <w:ind w:left="0"/>
      </w:pPr>
      <w:r>
        <w:rPr>
          <w:rFonts w:ascii="Arial" w:hAnsi="Arial" w:eastAsia="等线"/>
          <w:b w:val="0"/>
          <w:color w:val="000000"/>
          <w:sz w:val="21"/>
        </w:rPr>
        <w:t>建议严格按照“先验证论文假设，再做Benchmark，再开发方法”的顺序推进，避免在数据假设尚未成立前投入大量Agent工程。</w:t>
      </w:r>
    </w:p>
    <w:p>
      <w:pPr>
        <w:spacing w:after="60" w:line="288" w:lineRule="auto"/>
      </w:pPr>
      <w:r>
        <w:rPr>
          <w:rFonts w:ascii="Arial" w:hAnsi="Arial" w:eastAsia="等线"/>
          <w:b/>
          <w:color w:val="000000"/>
          <w:sz w:val="21"/>
        </w:rPr>
        <w:t>阶段1：收集第一批真实机械臂STEP（20-30套）：</w:t>
      </w:r>
      <w:r>
        <w:rPr>
          <w:rFonts w:ascii="Arial" w:hAnsi="Arial" w:eastAsia="等线"/>
          <w:b w:val="0"/>
          <w:color w:val="000000"/>
          <w:sz w:val="21"/>
        </w:rPr>
        <w:t>优先厂商官方或许可明确资产；记录来源、许可、单位、是否保留独立component。</w:t>
      </w:r>
    </w:p>
    <w:p>
      <w:pPr>
        <w:spacing w:after="60" w:line="288" w:lineRule="auto"/>
      </w:pPr>
      <w:r>
        <w:rPr>
          <w:rFonts w:ascii="Arial" w:hAnsi="Arial" w:eastAsia="等线"/>
          <w:b/>
          <w:color w:val="000000"/>
          <w:sz w:val="21"/>
        </w:rPr>
        <w:t>阶段2：完成Surface Audit（Go/No-Go 1）：</w:t>
      </w:r>
      <w:r>
        <w:rPr>
          <w:rFonts w:ascii="Arial" w:hAnsi="Arial" w:eastAsia="等线"/>
          <w:b w:val="0"/>
          <w:color w:val="000000"/>
          <w:sz w:val="21"/>
        </w:rPr>
        <w:t>用OCCT批量统计surface type、表面积占比、face/edge数量和复杂曲面分布；判断“复杂曲面”是否足够成为论文主线。</w:t>
      </w:r>
    </w:p>
    <w:p>
      <w:pPr>
        <w:spacing w:after="60" w:line="288" w:lineRule="auto"/>
      </w:pPr>
      <w:r>
        <w:rPr>
          <w:rFonts w:ascii="Arial" w:hAnsi="Arial" w:eastAsia="等线"/>
          <w:b/>
          <w:color w:val="000000"/>
          <w:sz w:val="21"/>
        </w:rPr>
        <w:t>阶段3：筛选高质量装配STEP并补URDF：</w:t>
      </w:r>
      <w:r>
        <w:rPr>
          <w:rFonts w:ascii="Arial" w:hAnsi="Arial" w:eastAsia="等线"/>
          <w:b w:val="0"/>
          <w:color w:val="000000"/>
          <w:sz w:val="21"/>
        </w:rPr>
        <w:t>选出10-15台能可靠分link的机械臂，匹配官方/开源URDF；统一零位、坐标系和单位。</w:t>
      </w:r>
    </w:p>
    <w:p>
      <w:pPr>
        <w:spacing w:after="60" w:line="288" w:lineRule="auto"/>
      </w:pPr>
      <w:r>
        <w:rPr>
          <w:rFonts w:ascii="Arial" w:hAnsi="Arial" w:eastAsia="等线"/>
          <w:b/>
          <w:color w:val="000000"/>
          <w:sz w:val="21"/>
        </w:rPr>
        <w:t>阶段4：冻结统一数据Schema：</w:t>
      </w:r>
      <w:r>
        <w:rPr>
          <w:rFonts w:ascii="Arial" w:hAnsi="Arial" w:eastAsia="等线"/>
          <w:b w:val="0"/>
          <w:color w:val="000000"/>
          <w:sz w:val="21"/>
        </w:rPr>
        <w:t>定义robot、link、joint、assembly graph、surface label、render、prompt、CAD-URDF mapping字段。</w:t>
      </w:r>
    </w:p>
    <w:p>
      <w:pPr>
        <w:spacing w:after="60" w:line="288" w:lineRule="auto"/>
      </w:pPr>
      <w:r>
        <w:rPr>
          <w:rFonts w:ascii="Arial" w:hAnsi="Arial" w:eastAsia="等线"/>
          <w:b/>
          <w:color w:val="000000"/>
          <w:sz w:val="21"/>
        </w:rPr>
        <w:t>阶段5：实现第一版确定性评测器：</w:t>
      </w:r>
      <w:r>
        <w:rPr>
          <w:rFonts w:ascii="Arial" w:hAnsi="Arial" w:eastAsia="等线"/>
          <w:b w:val="0"/>
          <w:color w:val="000000"/>
          <w:sz w:val="21"/>
        </w:rPr>
        <w:t>先完成CAD有效性、Whole/Part IoU、CD/HD、surface-specific CD/normal、Assembly Graph F1、joint axis/origin、多姿态变换。</w:t>
      </w:r>
    </w:p>
    <w:p>
      <w:pPr>
        <w:spacing w:after="60" w:line="288" w:lineRule="auto"/>
      </w:pPr>
      <w:r>
        <w:rPr>
          <w:rFonts w:ascii="Arial" w:hAnsi="Arial" w:eastAsia="等线"/>
          <w:b/>
          <w:color w:val="000000"/>
          <w:sz w:val="21"/>
        </w:rPr>
        <w:t>阶段6：做5-10台机械臂SOTA Pilot（Go/No-Go 2）：</w:t>
      </w:r>
      <w:r>
        <w:rPr>
          <w:rFonts w:ascii="Arial" w:hAnsi="Arial" w:eastAsia="等线"/>
          <w:b w:val="0"/>
          <w:color w:val="000000"/>
          <w:sz w:val="21"/>
        </w:rPr>
        <w:t>跑Direct LLM/VLM、CADIR/SimpleCAD、ArtiCAD或可运行装配基线；验证G3/A3样本是否显著失败。</w:t>
      </w:r>
    </w:p>
    <w:p>
      <w:pPr>
        <w:spacing w:after="60" w:line="288" w:lineRule="auto"/>
      </w:pPr>
      <w:r>
        <w:rPr>
          <w:rFonts w:ascii="Arial" w:hAnsi="Arial" w:eastAsia="等线"/>
          <w:b/>
          <w:color w:val="000000"/>
          <w:sz w:val="21"/>
        </w:rPr>
        <w:t>阶段7：建立Controlled Robot Set：</w:t>
      </w:r>
      <w:r>
        <w:rPr>
          <w:rFonts w:ascii="Arial" w:hAnsi="Arial" w:eastAsia="等线"/>
          <w:b w:val="0"/>
          <w:color w:val="000000"/>
          <w:sz w:val="21"/>
        </w:rPr>
        <w:t>系统构建G1-G3 × A1-A3参数化机械臂变体，保证二维复杂度空间覆盖均衡。</w:t>
      </w:r>
    </w:p>
    <w:p>
      <w:pPr>
        <w:spacing w:after="60" w:line="288" w:lineRule="auto"/>
      </w:pPr>
      <w:r>
        <w:rPr>
          <w:rFonts w:ascii="Arial" w:hAnsi="Arial" w:eastAsia="等线"/>
          <w:b/>
          <w:color w:val="000000"/>
          <w:sz w:val="21"/>
        </w:rPr>
        <w:t>阶段8：扩充正式Real Set与多模态输入：</w:t>
      </w:r>
      <w:r>
        <w:rPr>
          <w:rFonts w:ascii="Arial" w:hAnsi="Arial" w:eastAsia="等线"/>
          <w:b w:val="0"/>
          <w:color w:val="000000"/>
          <w:sz w:val="21"/>
        </w:rPr>
        <w:t>扩大到30-50台真实机械臂，生成统一多视图和三档文字描述；匿名化品牌/型号。</w:t>
      </w:r>
    </w:p>
    <w:p>
      <w:pPr>
        <w:spacing w:after="60" w:line="288" w:lineRule="auto"/>
      </w:pPr>
      <w:r>
        <w:rPr>
          <w:rFonts w:ascii="Arial" w:hAnsi="Arial" w:eastAsia="等线"/>
          <w:b/>
          <w:color w:val="000000"/>
          <w:sz w:val="21"/>
        </w:rPr>
        <w:t>阶段9：开发Kinematic-first + Interface-first基线方法：</w:t>
      </w:r>
      <w:r>
        <w:rPr>
          <w:rFonts w:ascii="Arial" w:hAnsi="Arial" w:eastAsia="等线"/>
          <w:b w:val="0"/>
          <w:color w:val="000000"/>
          <w:sz w:val="21"/>
        </w:rPr>
        <w:t>先只解决结构和装配关系，确认Assembly Graph/Joint指标有提升。</w:t>
      </w:r>
    </w:p>
    <w:p>
      <w:pPr>
        <w:spacing w:after="60" w:line="288" w:lineRule="auto"/>
      </w:pPr>
      <w:r>
        <w:rPr>
          <w:rFonts w:ascii="Arial" w:hAnsi="Arial" w:eastAsia="等线"/>
          <w:b/>
          <w:color w:val="000000"/>
          <w:sz w:val="21"/>
        </w:rPr>
        <w:t>阶段10：开发Surface-aware Part Generator：</w:t>
      </w:r>
      <w:r>
        <w:rPr>
          <w:rFonts w:ascii="Arial" w:hAnsi="Arial" w:eastAsia="等线"/>
          <w:b w:val="0"/>
          <w:color w:val="000000"/>
          <w:sz w:val="21"/>
        </w:rPr>
        <w:t>重点在G3复杂link上验证free-form CD、normal和curvature等指标，证明复杂曲面模块独立有效。</w:t>
      </w:r>
    </w:p>
    <w:p>
      <w:pPr>
        <w:spacing w:after="60" w:line="288" w:lineRule="auto"/>
      </w:pPr>
      <w:r>
        <w:rPr>
          <w:rFonts w:ascii="Arial" w:hAnsi="Arial" w:eastAsia="等线"/>
          <w:b/>
          <w:color w:val="000000"/>
          <w:sz w:val="21"/>
        </w:rPr>
        <w:t>阶段11：加入Dual Feedback与局部修复：</w:t>
      </w:r>
      <w:r>
        <w:rPr>
          <w:rFonts w:ascii="Arial" w:hAnsi="Arial" w:eastAsia="等线"/>
          <w:b w:val="0"/>
          <w:color w:val="000000"/>
          <w:sz w:val="21"/>
        </w:rPr>
        <w:t>分别实现Geometry Validator和Kinematic Validator，记录局部回滚成功率、调用成本和修复轮数。</w:t>
      </w:r>
    </w:p>
    <w:p>
      <w:pPr>
        <w:spacing w:after="60" w:line="288" w:lineRule="auto"/>
      </w:pPr>
      <w:r>
        <w:rPr>
          <w:rFonts w:ascii="Arial" w:hAnsi="Arial" w:eastAsia="等线"/>
          <w:b/>
          <w:color w:val="000000"/>
          <w:sz w:val="21"/>
        </w:rPr>
        <w:t>阶段12：完成正式主实验与消融：</w:t>
      </w:r>
      <w:r>
        <w:rPr>
          <w:rFonts w:ascii="Arial" w:hAnsi="Arial" w:eastAsia="等线"/>
          <w:b w:val="0"/>
          <w:color w:val="000000"/>
          <w:sz w:val="21"/>
        </w:rPr>
        <w:t>完成T/I/T+I、G/A分层、二维交互、SOTA对比、消融和泛化实验。</w:t>
      </w:r>
    </w:p>
    <w:p>
      <w:pPr>
        <w:spacing w:after="60" w:line="288" w:lineRule="auto"/>
      </w:pPr>
      <w:r>
        <w:rPr>
          <w:rFonts w:ascii="Arial" w:hAnsi="Arial" w:eastAsia="等线"/>
          <w:b/>
          <w:color w:val="000000"/>
          <w:sz w:val="21"/>
        </w:rPr>
        <w:t>阶段13：统计分析与错误案例整理：</w:t>
      </w:r>
      <w:r>
        <w:rPr>
          <w:rFonts w:ascii="Arial" w:hAnsi="Arial" w:eastAsia="等线"/>
          <w:b w:val="0"/>
          <w:color w:val="000000"/>
          <w:sz w:val="21"/>
        </w:rPr>
        <w:t>生成G×A热力图、交互项分析、典型成功/失败案例和按模块归因的错误统计。</w:t>
      </w:r>
    </w:p>
    <w:p>
      <w:pPr>
        <w:spacing w:after="60" w:line="288" w:lineRule="auto"/>
      </w:pPr>
      <w:r>
        <w:rPr>
          <w:rFonts w:ascii="Arial" w:hAnsi="Arial" w:eastAsia="等线"/>
          <w:b/>
          <w:color w:val="000000"/>
          <w:sz w:val="21"/>
        </w:rPr>
        <w:t>阶段14：补充真实工程验证（可选但推荐）：</w:t>
      </w:r>
      <w:r>
        <w:rPr>
          <w:rFonts w:ascii="Arial" w:hAnsi="Arial" w:eastAsia="等线"/>
          <w:b w:val="0"/>
          <w:color w:val="000000"/>
          <w:sz w:val="21"/>
        </w:rPr>
        <w:t>选2-3个生成机械臂导入FreeCAD/SolidWorks或ROS/MoveIt，验证STEP装配、URDF运动和参数化编辑。</w:t>
      </w:r>
    </w:p>
    <w:p>
      <w:pPr>
        <w:spacing w:after="60" w:line="288" w:lineRule="auto"/>
      </w:pPr>
      <w:r>
        <w:rPr>
          <w:rFonts w:ascii="Arial" w:hAnsi="Arial" w:eastAsia="等线"/>
          <w:b/>
          <w:color w:val="000000"/>
          <w:sz w:val="21"/>
        </w:rPr>
        <w:t>阶段15：论文写作与公开资产整理：</w:t>
      </w:r>
      <w:r>
        <w:rPr>
          <w:rFonts w:ascii="Arial" w:hAnsi="Arial" w:eastAsia="等线"/>
          <w:b w:val="0"/>
          <w:color w:val="000000"/>
          <w:sz w:val="21"/>
        </w:rPr>
        <w:t>冻结Benchmark版本、评测脚本、数据许可清单、基线配置与复现实验说明；投稿前再次检索最新SOTA，避免“首个”声明过时。</w:t>
      </w:r>
    </w:p>
    <w:p>
      <w:pPr>
        <w:pStyle w:val="Heading1"/>
        <w:spacing w:before="160" w:after="80"/>
      </w:pPr>
      <w:r>
        <w:rPr>
          <w:rFonts w:ascii="Arial" w:hAnsi="Arial" w:eastAsia="等线"/>
          <w:b/>
          <w:color w:val="000000"/>
          <w:sz w:val="28"/>
        </w:rPr>
        <w:t>十六、当前最优先的三个行动项</w:t>
      </w:r>
    </w:p>
    <w:p>
      <w:pPr>
        <w:pStyle w:val="ListBullet"/>
        <w:spacing w:after="40" w:line="288" w:lineRule="auto"/>
        <w:ind w:left="369" w:hanging="142"/>
      </w:pPr>
      <w:r>
        <w:rPr>
          <w:rFonts w:ascii="Arial" w:hAnsi="Arial" w:eastAsia="等线"/>
          <w:b w:val="0"/>
          <w:color w:val="000000"/>
          <w:sz w:val="21"/>
        </w:rPr>
        <w:t>第一优先：先收集20-30套真实机械臂STEP，不必等待URDF全部齐全。</w:t>
      </w:r>
    </w:p>
    <w:p>
      <w:pPr>
        <w:pStyle w:val="ListBullet"/>
        <w:spacing w:after="40" w:line="288" w:lineRule="auto"/>
        <w:ind w:left="369" w:hanging="142"/>
      </w:pPr>
      <w:r>
        <w:rPr>
          <w:rFonts w:ascii="Arial" w:hAnsi="Arial" w:eastAsia="等线"/>
          <w:b w:val="0"/>
          <w:color w:val="000000"/>
          <w:sz w:val="21"/>
        </w:rPr>
        <w:t>第二优先：完成Surface Audit，确认机械臂是否真的具备足够高的复杂曲面比例；这是第一Go/No-Go节点。</w:t>
      </w:r>
    </w:p>
    <w:p>
      <w:pPr>
        <w:pStyle w:val="ListBullet"/>
        <w:spacing w:after="40" w:line="288" w:lineRule="auto"/>
        <w:ind w:left="369" w:hanging="142"/>
      </w:pPr>
      <w:r>
        <w:rPr>
          <w:rFonts w:ascii="Arial" w:hAnsi="Arial" w:eastAsia="等线"/>
          <w:b w:val="0"/>
          <w:color w:val="000000"/>
          <w:sz w:val="21"/>
        </w:rPr>
        <w:t>第三优先：选5-10台G/A复杂度较高的机器人跑Direct + SimpleCAD/CADIR + ArtiCAD pilot，确认SOTA确实在“复杂曲面 × 复杂装配”区域出现系统性退化；这是第二Go/No-Go节点。</w:t>
      </w:r>
    </w:p>
    <w:sectPr w:rsidR="00FC693F" w:rsidRPr="0006063C" w:rsidSect="00034616">
      <w:footerReference w:type="default" r:id="rId9"/>
      <w:pgSz w:w="12240" w:h="15840"/>
      <w:pgMar w:top="1247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等线"/>
        <w:b w:val="0"/>
        <w:color w:val="000000"/>
        <w:sz w:val="18"/>
      </w:rPr>
      <w:t xml:space="preserve">第 </w:t>
      <w:fldChar w:fldCharType="begin"/>
      <w:instrText xml:space="preserve">PAGE</w:instrText>
      <w:fldChar w:fldCharType="end"/>
    </w:r>
    <w:r>
      <w:rPr>
        <w:rFonts w:ascii="Arial" w:hAnsi="Arial" w:eastAsia="等线"/>
        <w:b w:val="0"/>
        <w:color w:val="00000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等线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等线" w:hAnsi="等线" w:eastAsia="等线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等线" w:hAnsi="等线" w:eastAsia="等线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等线" w:hAnsi="等线" w:eastAsia="等线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等线" w:hAnsi="等线" w:eastAsia="等线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