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tnfv4t2g5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Maven Cycles Sales Performance Analysis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Maven Analytics Bicycle Retail Chain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491288" cy="3610596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1288" cy="36105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kybz7g0mf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Summary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Built a Power BI sales dashboard to analyze revenue, profitability, and regional performance for a multi region bicycle retail chain. The solution covers data cleaning, dimensional modeling, KPI development, secure deployment, and interactive analysis for business stakeholders. Additional screenshots below the report.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f2lgw7gmd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Preparation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Cleaned and standardized data using</w:t>
      </w:r>
      <w:r w:rsidDel="00000000" w:rsidR="00000000" w:rsidRPr="00000000">
        <w:rPr>
          <w:rtl w:val="0"/>
        </w:rPr>
        <w:t xml:space="preserve"> Power Query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Consolidated multi year sales data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additional columns including </w:t>
      </w:r>
      <w:r w:rsidDel="00000000" w:rsidR="00000000" w:rsidRPr="00000000">
        <w:rPr>
          <w:rtl w:val="0"/>
        </w:rPr>
        <w:t xml:space="preserve">price range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tl w:val="0"/>
        </w:rPr>
        <w:t xml:space="preserve">aggregated product quantities 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a robust </w:t>
      </w:r>
      <w:r w:rsidDel="00000000" w:rsidR="00000000" w:rsidRPr="00000000">
        <w:rPr>
          <w:rtl w:val="0"/>
        </w:rPr>
        <w:t xml:space="preserve">Calendar table</w:t>
      </w:r>
      <w:r w:rsidDel="00000000" w:rsidR="00000000" w:rsidRPr="00000000">
        <w:rPr>
          <w:rtl w:val="0"/>
        </w:rPr>
        <w:t xml:space="preserve"> with year, month, quarter, and time intelligence columns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inkrd1epx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Modeling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a </w:t>
      </w:r>
      <w:r w:rsidDel="00000000" w:rsidR="00000000" w:rsidRPr="00000000">
        <w:rPr>
          <w:rtl w:val="0"/>
        </w:rPr>
        <w:t xml:space="preserve">star schema</w:t>
      </w:r>
      <w:r w:rsidDel="00000000" w:rsidR="00000000" w:rsidRPr="00000000">
        <w:rPr>
          <w:rtl w:val="0"/>
        </w:rPr>
        <w:t xml:space="preserve"> with Sales as the fact table 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Connected Products, Categories, Subcategories, Calendar, Regions, Gender, and Age Group tables via one-to-many relationships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an </w:t>
      </w:r>
      <w:r w:rsidDel="00000000" w:rsidR="00000000" w:rsidRPr="00000000">
        <w:rPr>
          <w:rtl w:val="0"/>
        </w:rPr>
        <w:t xml:space="preserve">inactive date relationship</w:t>
      </w:r>
      <w:r w:rsidDel="00000000" w:rsidR="00000000" w:rsidRPr="00000000">
        <w:rPr>
          <w:rtl w:val="0"/>
        </w:rPr>
        <w:t xml:space="preserve"> to support advanced time analysis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Ensured single direction filter flow for accurate category filtering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06y0bjlh1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 &amp; Analysis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KPI cards for </w:t>
      </w:r>
      <w:r w:rsidDel="00000000" w:rsidR="00000000" w:rsidRPr="00000000">
        <w:rPr>
          <w:rtl w:val="0"/>
        </w:rPr>
        <w:t xml:space="preserve">Revenue, Profit, and Profit Margin</w:t>
      </w:r>
      <w:r w:rsidDel="00000000" w:rsidR="00000000" w:rsidRPr="00000000">
        <w:rPr>
          <w:rtl w:val="0"/>
        </w:rPr>
        <w:t xml:space="preserve"> with conditional formatting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slicers for </w:t>
      </w:r>
      <w:r w:rsidDel="00000000" w:rsidR="00000000" w:rsidRPr="00000000">
        <w:rPr>
          <w:rtl w:val="0"/>
        </w:rPr>
        <w:t xml:space="preserve">date and product subcategory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Product-level table showing </w:t>
      </w:r>
      <w:r w:rsidDel="00000000" w:rsidR="00000000" w:rsidRPr="00000000">
        <w:rPr>
          <w:rtl w:val="0"/>
        </w:rPr>
        <w:t xml:space="preserve">revenue contribution and margin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analysis of </w:t>
      </w:r>
      <w:r w:rsidDel="00000000" w:rsidR="00000000" w:rsidRPr="00000000">
        <w:rPr>
          <w:rtl w:val="0"/>
        </w:rPr>
        <w:t xml:space="preserve">profit by category, region, and time period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Drill-through pages for country-level product performance 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Bookmarks for pre-filtered executive views</w:t>
        <w:br w:type="textWrapping"/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9t2whe42e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6oqljtxiy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Deployment &amp; Security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Published to </w:t>
      </w:r>
      <w:r w:rsidDel="00000000" w:rsidR="00000000" w:rsidRPr="00000000">
        <w:rPr>
          <w:rtl w:val="0"/>
        </w:rPr>
        <w:t xml:space="preserve">Power BI Service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Configured scheduled refresh via data gateway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</w:t>
      </w:r>
      <w:r w:rsidDel="00000000" w:rsidR="00000000" w:rsidRPr="00000000">
        <w:rPr>
          <w:rtl w:val="0"/>
        </w:rPr>
        <w:t xml:space="preserve"> static and dynamic Row Level Security (RLS) </w:t>
      </w:r>
      <w:r w:rsidDel="00000000" w:rsidR="00000000" w:rsidRPr="00000000">
        <w:rPr>
          <w:rtl w:val="0"/>
        </w:rPr>
        <w:t xml:space="preserve">by region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insights through a published</w:t>
      </w:r>
      <w:r w:rsidDel="00000000" w:rsidR="00000000" w:rsidRPr="00000000">
        <w:rPr>
          <w:rtl w:val="0"/>
        </w:rPr>
        <w:t xml:space="preserve"> Power BI App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i w:val="1"/>
          <w:iCs w:val="1"/>
        </w:rPr>
      </w:pPr>
      <w:bookmarkStart w:colFirst="0" w:colLast="0" w:name="_86pl51516p0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Quantifiable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Concentration Risk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top </w:t>
      </w:r>
      <w:r w:rsidDel="00000000" w:rsidR="00000000" w:rsidRPr="00000000">
        <w:rPr>
          <w:rtl w:val="0"/>
        </w:rPr>
        <w:t xml:space="preserve">20% of products generated ~69% of total revenue</w:t>
      </w:r>
      <w:r w:rsidDel="00000000" w:rsidR="00000000" w:rsidRPr="00000000">
        <w:rPr>
          <w:rtl w:val="0"/>
        </w:rPr>
        <w:t xml:space="preserve">, indicating heavy reliance on a small subset of SKUs.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Recommendation: protect inventory availability for top performers while diversifying mid-tier product sales.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Profitability vs. Volume Tradeoff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Certain subcategories produced </w:t>
      </w:r>
      <w:r w:rsidDel="00000000" w:rsidR="00000000" w:rsidRPr="00000000">
        <w:rPr>
          <w:rtl w:val="0"/>
        </w:rPr>
        <w:t xml:space="preserve">30 - 40% higher profit margins </w:t>
      </w:r>
      <w:r w:rsidDel="00000000" w:rsidR="00000000" w:rsidRPr="00000000">
        <w:rPr>
          <w:rtl w:val="0"/>
        </w:rPr>
        <w:t xml:space="preserve"> despite lower unit sales compared to high volume products.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Recommendation: prioritize marketing and promotions for high margin categories rather than purely high volume items.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Regional Performance Gap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region with the lowest profit margin is </w:t>
      </w:r>
      <w:r w:rsidDel="00000000" w:rsidR="00000000" w:rsidRPr="00000000">
        <w:rPr>
          <w:rtl w:val="0"/>
        </w:rPr>
        <w:t xml:space="preserve">~10% lower</w:t>
      </w:r>
      <w:r w:rsidDel="00000000" w:rsidR="00000000" w:rsidRPr="00000000">
        <w:rPr>
          <w:rtl w:val="0"/>
        </w:rPr>
        <w:t xml:space="preserve"> than the highest performing region.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Recommendation: analyze pricing strategy, product mix, and regional demand drivers to close the profitability gap through the promotion of higher profit margin SKUs (accessories).</w:t>
        <w:br w:type="textWrapping"/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2px77dglo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Skills Demonstrated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Power Query (data cleaning &amp; transformation)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modeling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design and profitability analysis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based analysis and drill through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BI Service deployment and governance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 Level Security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f9kcurn0ql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Screenshots</w:t>
      </w:r>
    </w:p>
    <w:p w:rsidR="00000000" w:rsidDel="00000000" w:rsidP="00000000" w:rsidRDefault="00000000" w:rsidRPr="00000000" w14:paraId="00000031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Price Range Conditional column with formula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>
          <w:sz w:val="12"/>
          <w:szCs w:val="12"/>
        </w:rPr>
      </w:pPr>
      <w:r w:rsidDel="00000000" w:rsidR="00000000" w:rsidRPr="00000000">
        <w:rPr/>
        <w:drawing>
          <wp:inline distB="114300" distT="114300" distL="114300" distR="114300">
            <wp:extent cx="5790575" cy="155382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0575" cy="1553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>
          <w:sz w:val="12"/>
          <w:szCs w:val="12"/>
        </w:rPr>
      </w:pPr>
      <w:r w:rsidDel="00000000" w:rsidR="00000000" w:rsidRPr="00000000">
        <w:rPr>
          <w:b w:val="1"/>
          <w:bCs w:val="1"/>
          <w:rtl w:val="0"/>
        </w:rPr>
        <w:t xml:space="preserve">Calendar Table</w:t>
      </w:r>
      <w:r w:rsidDel="00000000" w:rsidR="00000000" w:rsidRPr="00000000">
        <w:rPr/>
        <w:drawing>
          <wp:inline distB="114300" distT="114300" distL="114300" distR="114300">
            <wp:extent cx="5776913" cy="2799339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6913" cy="2799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>
          <w:sz w:val="12"/>
          <w:szCs w:val="12"/>
        </w:rPr>
      </w:pPr>
      <w:r w:rsidDel="00000000" w:rsidR="00000000" w:rsidRPr="00000000">
        <w:rPr>
          <w:b w:val="1"/>
          <w:bCs w:val="1"/>
          <w:rtl w:val="0"/>
        </w:rPr>
        <w:t xml:space="preserve">Data Model (star schema)</w:t>
      </w:r>
      <w:r w:rsidDel="00000000" w:rsidR="00000000" w:rsidRPr="00000000">
        <w:rPr/>
        <w:drawing>
          <wp:inline distB="114300" distT="114300" distL="114300" distR="114300">
            <wp:extent cx="5434013" cy="346123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4013" cy="3461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Drill through filtering using Decomposition Tree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>
          <w:sz w:val="12"/>
          <w:szCs w:val="12"/>
        </w:rPr>
      </w:pPr>
      <w:r w:rsidDel="00000000" w:rsidR="00000000" w:rsidRPr="00000000">
        <w:rPr/>
        <w:drawing>
          <wp:inline distB="114300" distT="114300" distL="114300" distR="114300">
            <wp:extent cx="5533289" cy="2905812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3289" cy="2905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t xml:space="preserve">Configured app</w:t>
      </w: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2512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4919850" cy="4005263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9850" cy="4005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Static RLS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71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RLS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59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