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1ECC" w:rsidRPr="00746F5E" w:rsidRDefault="004B6030" w:rsidP="004B6030">
      <w:pPr>
        <w:jc w:val="center"/>
        <w:rPr>
          <w:b/>
          <w:u w:val="single"/>
        </w:rPr>
      </w:pPr>
      <w:r w:rsidRPr="00746F5E">
        <w:rPr>
          <w:b/>
          <w:u w:val="single"/>
        </w:rPr>
        <w:t>Yosemite Expected Visitors for Next 5 Years</w:t>
      </w:r>
    </w:p>
    <w:p w:rsidR="004B6030" w:rsidRPr="00746F5E" w:rsidRDefault="004B6030" w:rsidP="004B6030"/>
    <w:p w:rsidR="00192D88" w:rsidRPr="00746F5E" w:rsidRDefault="004B6030" w:rsidP="00192D88">
      <w:r w:rsidRPr="00746F5E">
        <w:t xml:space="preserve">In </w:t>
      </w:r>
      <w:r w:rsidR="00961B06" w:rsidRPr="00746F5E">
        <w:t>the last 10</w:t>
      </w:r>
      <w:r w:rsidR="00961B06" w:rsidRPr="00746F5E">
        <w:rPr>
          <w:rFonts w:cs="Times New Roman (Body CS)"/>
          <w:vertAlign w:val="superscript"/>
        </w:rPr>
        <w:t>+</w:t>
      </w:r>
      <w:r w:rsidRPr="00746F5E">
        <w:t xml:space="preserve"> years, Yosemite National Park has been increasing </w:t>
      </w:r>
      <w:r w:rsidR="00961B06" w:rsidRPr="00746F5E">
        <w:t xml:space="preserve">exponentially in visitors. </w:t>
      </w:r>
      <w:r w:rsidR="00192D88" w:rsidRPr="00746F5E">
        <w:t>This report gives</w:t>
      </w:r>
      <w:r w:rsidR="00961B06" w:rsidRPr="00746F5E">
        <w:t xml:space="preserve"> the predictions in visitors for the next 5 years</w:t>
      </w:r>
      <w:r w:rsidR="00192D88" w:rsidRPr="00746F5E">
        <w:t xml:space="preserve"> and </w:t>
      </w:r>
      <w:r w:rsidR="00E01DEE" w:rsidRPr="00746F5E">
        <w:t>interpretation</w:t>
      </w:r>
      <w:r w:rsidR="00192D88" w:rsidRPr="00746F5E">
        <w:t xml:space="preserve"> for </w:t>
      </w:r>
      <w:r w:rsidR="00E01DEE" w:rsidRPr="00746F5E">
        <w:t>past</w:t>
      </w:r>
      <w:r w:rsidR="00192D88" w:rsidRPr="00746F5E">
        <w:t xml:space="preserve"> visitors</w:t>
      </w:r>
      <w:r w:rsidR="00961B06" w:rsidRPr="00746F5E">
        <w:t xml:space="preserve">. </w:t>
      </w:r>
    </w:p>
    <w:p w:rsidR="004B6030" w:rsidRPr="00746F5E" w:rsidRDefault="00961B06" w:rsidP="00192D88">
      <w:r w:rsidRPr="00746F5E">
        <w:t>The predictions are created with data from previous years using a Time Series method</w:t>
      </w:r>
      <w:r w:rsidR="00A540A1" w:rsidRPr="00746F5E">
        <w:t xml:space="preserve"> (in millions)</w:t>
      </w:r>
      <w:r w:rsidRPr="00746F5E">
        <w:t>.</w:t>
      </w:r>
    </w:p>
    <w:p w:rsidR="004B6030" w:rsidRPr="00746F5E" w:rsidRDefault="004B6030" w:rsidP="004B6030"/>
    <w:p w:rsidR="004B6030" w:rsidRPr="00746F5E" w:rsidRDefault="004B6030" w:rsidP="004B6030">
      <w:r w:rsidRPr="00746F5E">
        <w:t>Data</w:t>
      </w:r>
      <w:r w:rsidR="00961B06" w:rsidRPr="00746F5E">
        <w:t xml:space="preserve"> comes</w:t>
      </w:r>
      <w:r w:rsidRPr="00746F5E">
        <w:t xml:space="preserve"> from:</w:t>
      </w:r>
      <w:r w:rsidR="00E01DEE" w:rsidRPr="00746F5E">
        <w:t xml:space="preserve"> </w:t>
      </w:r>
      <w:hyperlink r:id="rId4" w:history="1">
        <w:r w:rsidR="00491949" w:rsidRPr="00746F5E">
          <w:rPr>
            <w:rStyle w:val="Hyperlink"/>
          </w:rPr>
          <w:t>https://irma.nps.gov/Stats/SSRSReports/Park%20Specific%20Reports/</w:t>
        </w:r>
      </w:hyperlink>
      <w:r w:rsidR="00E01DEE" w:rsidRPr="00746F5E">
        <w:t xml:space="preserve"> </w:t>
      </w:r>
    </w:p>
    <w:p w:rsidR="004B6030" w:rsidRPr="00746F5E" w:rsidRDefault="004B6030" w:rsidP="004B6030"/>
    <w:p w:rsidR="00746F5E" w:rsidRPr="00746F5E" w:rsidRDefault="00A20B3D" w:rsidP="00746F5E">
      <w:pPr>
        <w:jc w:val="center"/>
        <w:rPr>
          <w:u w:val="single"/>
        </w:rPr>
      </w:pPr>
      <w:r w:rsidRPr="00746F5E">
        <w:rPr>
          <w:u w:val="single"/>
        </w:rPr>
        <w:t>Below are</w:t>
      </w:r>
      <w:r w:rsidR="00961B06" w:rsidRPr="00746F5E">
        <w:rPr>
          <w:u w:val="single"/>
        </w:rPr>
        <w:t xml:space="preserve"> the graphic</w:t>
      </w:r>
      <w:r w:rsidRPr="00746F5E">
        <w:rPr>
          <w:u w:val="single"/>
        </w:rPr>
        <w:t>s</w:t>
      </w:r>
      <w:r w:rsidR="00961B06" w:rsidRPr="00746F5E">
        <w:rPr>
          <w:u w:val="single"/>
        </w:rPr>
        <w:t xml:space="preserve"> for t</w:t>
      </w:r>
      <w:r w:rsidR="00192D88" w:rsidRPr="00746F5E">
        <w:rPr>
          <w:u w:val="single"/>
        </w:rPr>
        <w:t>he park visitor-ship</w:t>
      </w:r>
      <w:r w:rsidR="009C7847" w:rsidRPr="00746F5E">
        <w:rPr>
          <w:u w:val="single"/>
        </w:rPr>
        <w:t xml:space="preserve"> from 1</w:t>
      </w:r>
      <w:r w:rsidR="00192D88" w:rsidRPr="00746F5E">
        <w:rPr>
          <w:u w:val="single"/>
        </w:rPr>
        <w:t>950 up to 2016.</w:t>
      </w:r>
    </w:p>
    <w:p w:rsidR="00746F5E" w:rsidRDefault="00746F5E" w:rsidP="004B6030">
      <w:r w:rsidRPr="00746F5E">
        <w:rPr>
          <w:rFonts w:ascii="Helvetica" w:hAnsi="Helvetica" w:cs="Helvetic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1186535</wp:posOffset>
            </wp:positionH>
            <wp:positionV relativeFrom="paragraph">
              <wp:posOffset>15374</wp:posOffset>
            </wp:positionV>
            <wp:extent cx="4584700" cy="283527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746F5E">
      <w:pPr>
        <w:jc w:val="center"/>
        <w:rPr>
          <w:u w:val="single"/>
        </w:rPr>
      </w:pPr>
    </w:p>
    <w:p w:rsidR="00746F5E" w:rsidRDefault="00746F5E" w:rsidP="00746F5E">
      <w:pPr>
        <w:jc w:val="center"/>
        <w:rPr>
          <w:u w:val="single"/>
        </w:rPr>
      </w:pPr>
    </w:p>
    <w:p w:rsidR="00746F5E" w:rsidRDefault="00746F5E" w:rsidP="00746F5E">
      <w:pPr>
        <w:jc w:val="center"/>
        <w:rPr>
          <w:u w:val="single"/>
        </w:rPr>
      </w:pPr>
    </w:p>
    <w:p w:rsidR="00746F5E" w:rsidRPr="00746F5E" w:rsidRDefault="00746F5E" w:rsidP="00746F5E">
      <w:pPr>
        <w:jc w:val="center"/>
        <w:rPr>
          <w:u w:val="single"/>
        </w:rPr>
      </w:pPr>
      <w:r w:rsidRPr="00746F5E">
        <w:rPr>
          <w:u w:val="single"/>
        </w:rPr>
        <w:t xml:space="preserve">The data </w:t>
      </w:r>
      <w:r w:rsidRPr="00746F5E">
        <w:rPr>
          <w:u w:val="single"/>
        </w:rPr>
        <w:t>below</w:t>
      </w:r>
      <w:r w:rsidRPr="00746F5E">
        <w:rPr>
          <w:u w:val="single"/>
        </w:rPr>
        <w:t xml:space="preserve"> has been transformed by taking a log to make easier calculations.</w:t>
      </w:r>
    </w:p>
    <w:p w:rsidR="00746F5E" w:rsidRDefault="00746F5E" w:rsidP="004B6030">
      <w:r w:rsidRPr="00746F5E">
        <w:rPr>
          <w:rFonts w:ascii="Helvetica" w:hAnsi="Helvetica" w:cs="Helvetic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1178560</wp:posOffset>
            </wp:positionH>
            <wp:positionV relativeFrom="paragraph">
              <wp:posOffset>7620</wp:posOffset>
            </wp:positionV>
            <wp:extent cx="4646930" cy="2843530"/>
            <wp:effectExtent l="0" t="0" r="127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84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9C7847" w:rsidRPr="00746F5E" w:rsidRDefault="00A540A1" w:rsidP="004B6030">
      <w:r w:rsidRPr="00746F5E">
        <w:t>This method takes each year and extrapolates forward using a</w:t>
      </w:r>
      <w:r w:rsidR="00746F5E" w:rsidRPr="00746F5E">
        <w:t xml:space="preserve"> Time Series prediction. The model</w:t>
      </w:r>
      <w:r w:rsidRPr="00746F5E">
        <w:t xml:space="preserve"> assume</w:t>
      </w:r>
      <w:r w:rsidR="00746F5E" w:rsidRPr="00746F5E">
        <w:t>s</w:t>
      </w:r>
      <w:r w:rsidRPr="00746F5E">
        <w:t xml:space="preserve"> that only the previous years determine future years, which means that this prediction depends on a roughly constant change in operations, marketing strategies, </w:t>
      </w:r>
      <w:r w:rsidR="00491949" w:rsidRPr="00746F5E">
        <w:t xml:space="preserve">weather conditions, </w:t>
      </w:r>
      <w:r w:rsidRPr="00746F5E">
        <w:t>and counting techniques. This report should not be used to determine exactly what our values may fall-between, but a benchmark indicating what would happen if the organizational process does not change.</w:t>
      </w:r>
    </w:p>
    <w:p w:rsidR="00746F5E" w:rsidRDefault="00746F5E" w:rsidP="004B6030"/>
    <w:p w:rsidR="00746F5E" w:rsidRPr="00746F5E" w:rsidRDefault="00746F5E" w:rsidP="004B6030"/>
    <w:p w:rsidR="00746F5E" w:rsidRPr="00746F5E" w:rsidRDefault="00A540A1" w:rsidP="004B6030">
      <w:pPr>
        <w:rPr>
          <w:u w:val="single"/>
        </w:rPr>
      </w:pPr>
      <w:r w:rsidRPr="00746F5E">
        <w:rPr>
          <w:u w:val="single"/>
        </w:rPr>
        <w:lastRenderedPageBreak/>
        <w:t>Below are the tables for estimates with 95% confidence intervals along with the graphic o</w:t>
      </w:r>
      <w:r w:rsidR="00E01DEE" w:rsidRPr="00746F5E">
        <w:rPr>
          <w:u w:val="single"/>
        </w:rPr>
        <w:t>f</w:t>
      </w:r>
      <w:r w:rsidRPr="00746F5E">
        <w:rPr>
          <w:u w:val="single"/>
        </w:rPr>
        <w:t xml:space="preserve"> the prediction.</w:t>
      </w:r>
      <w:bookmarkStart w:id="0" w:name="_GoBack"/>
      <w:bookmarkEnd w:id="0"/>
    </w:p>
    <w:tbl>
      <w:tblPr>
        <w:tblStyle w:val="ListTable4-Accent3"/>
        <w:tblpPr w:leftFromText="180" w:rightFromText="180" w:vertAnchor="text" w:horzAnchor="margin" w:tblpXSpec="center" w:tblpY="191"/>
        <w:tblW w:w="8550" w:type="dxa"/>
        <w:tblLayout w:type="fixed"/>
        <w:tblLook w:val="05E0" w:firstRow="1" w:lastRow="1" w:firstColumn="1" w:lastColumn="1" w:noHBand="0" w:noVBand="1"/>
      </w:tblPr>
      <w:tblGrid>
        <w:gridCol w:w="750"/>
        <w:gridCol w:w="2955"/>
        <w:gridCol w:w="2916"/>
        <w:gridCol w:w="1929"/>
      </w:tblGrid>
      <w:tr w:rsidR="00746F5E" w:rsidRPr="00746F5E" w:rsidTr="00746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50" w:type="dxa"/>
            <w:gridSpan w:val="4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bCs w:val="0"/>
                <w:color w:val="000000"/>
                <w:u w:val="single"/>
              </w:rPr>
            </w:pPr>
            <w:r w:rsidRPr="00746F5E">
              <w:rPr>
                <w:rFonts w:ascii="Calibri" w:hAnsi="Calibri" w:cs="Calibri"/>
                <w:bCs w:val="0"/>
                <w:color w:val="000000"/>
                <w:u w:val="single"/>
              </w:rPr>
              <w:t>5-Year prediction (95% confidence)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Year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Lower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Upper</w:t>
            </w:r>
          </w:p>
        </w:tc>
      </w:tr>
      <w:tr w:rsidR="00746F5E" w:rsidRPr="00746F5E" w:rsidTr="00746F5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2017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5.096657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4.472109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5.808425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2018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5.301227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4.446741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6.319912</w:t>
            </w:r>
          </w:p>
        </w:tc>
      </w:tr>
      <w:tr w:rsidR="00746F5E" w:rsidRPr="00746F5E" w:rsidTr="00746F5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2019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5.421584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4.366934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6.73094</w:t>
            </w:r>
          </w:p>
        </w:tc>
      </w:tr>
      <w:tr w:rsidR="00746F5E" w:rsidRPr="00746F5E" w:rsidTr="00746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2020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5.606032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</w:rPr>
            </w:pPr>
            <w:r w:rsidRPr="00746F5E">
              <w:rPr>
                <w:rFonts w:ascii="Calibri" w:hAnsi="Calibri" w:cs="Calibri"/>
                <w:b/>
                <w:bCs/>
                <w:color w:val="000000"/>
              </w:rPr>
              <w:t>4.376368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7.181205</w:t>
            </w:r>
          </w:p>
        </w:tc>
      </w:tr>
      <w:tr w:rsidR="00746F5E" w:rsidRPr="00746F5E" w:rsidTr="00746F5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2021</w:t>
            </w:r>
          </w:p>
        </w:tc>
        <w:tc>
          <w:tcPr>
            <w:tcW w:w="2955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5.755369</w:t>
            </w:r>
          </w:p>
        </w:tc>
        <w:tc>
          <w:tcPr>
            <w:tcW w:w="2916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4.362865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29" w:type="dxa"/>
          </w:tcPr>
          <w:p w:rsidR="00746F5E" w:rsidRPr="00746F5E" w:rsidRDefault="00746F5E" w:rsidP="00746F5E">
            <w:pPr>
              <w:autoSpaceDE w:val="0"/>
              <w:autoSpaceDN w:val="0"/>
              <w:adjustRightInd w:val="0"/>
              <w:spacing w:line="380" w:lineRule="atLeast"/>
              <w:jc w:val="right"/>
              <w:rPr>
                <w:rFonts w:ascii="Calibri" w:hAnsi="Calibri" w:cs="Calibri"/>
                <w:bCs w:val="0"/>
                <w:color w:val="000000"/>
              </w:rPr>
            </w:pPr>
            <w:r w:rsidRPr="00746F5E">
              <w:rPr>
                <w:rFonts w:ascii="Calibri" w:hAnsi="Calibri" w:cs="Calibri"/>
                <w:bCs w:val="0"/>
                <w:color w:val="000000"/>
              </w:rPr>
              <w:t>7.59232</w:t>
            </w:r>
          </w:p>
        </w:tc>
      </w:tr>
    </w:tbl>
    <w:p w:rsidR="009C7847" w:rsidRDefault="009C7847" w:rsidP="004B6030"/>
    <w:p w:rsidR="00746F5E" w:rsidRPr="00746F5E" w:rsidRDefault="00746F5E" w:rsidP="004B6030"/>
    <w:p w:rsidR="009C7847" w:rsidRPr="00746F5E" w:rsidRDefault="009C7847" w:rsidP="004B6030"/>
    <w:p w:rsidR="00746F5E" w:rsidRP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>
      <w:r w:rsidRPr="00746F5E">
        <w:rPr>
          <w:rFonts w:ascii="Helvetica" w:hAnsi="Helvetica" w:cs="Helvetica"/>
          <w:noProof/>
        </w:rPr>
        <w:drawing>
          <wp:anchor distT="0" distB="0" distL="114300" distR="114300" simplePos="0" relativeHeight="251661312" behindDoc="0" locked="0" layoutInCell="1" allowOverlap="1" wp14:anchorId="4E600AEA">
            <wp:simplePos x="0" y="0"/>
            <wp:positionH relativeFrom="column">
              <wp:posOffset>598980</wp:posOffset>
            </wp:positionH>
            <wp:positionV relativeFrom="paragraph">
              <wp:posOffset>93712</wp:posOffset>
            </wp:positionV>
            <wp:extent cx="5729605" cy="35426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192D88" w:rsidRDefault="00491949" w:rsidP="004B6030">
      <w:r w:rsidRPr="00746F5E">
        <w:t>As we see, the predictions are within a</w:t>
      </w:r>
      <w:r w:rsidR="00746F5E">
        <w:t xml:space="preserve"> large</w:t>
      </w:r>
      <w:r w:rsidRPr="00746F5E">
        <w:t xml:space="preserve"> range of 2 million </w:t>
      </w:r>
      <w:r w:rsidR="00746F5E">
        <w:t>visitors</w:t>
      </w:r>
      <w:r w:rsidRPr="00746F5E">
        <w:t>. Yet, the trend shows an overall increase</w:t>
      </w:r>
      <w:r w:rsidR="00E01DEE" w:rsidRPr="00746F5E">
        <w:t xml:space="preserve"> in expected visitors. Regardless, there are viable</w:t>
      </w:r>
      <w:r w:rsidR="00746F5E" w:rsidRPr="00746F5E">
        <w:t xml:space="preserve"> </w:t>
      </w:r>
      <w:r w:rsidR="00E01DEE" w:rsidRPr="00746F5E">
        <w:t>concerns with global warming and w</w:t>
      </w:r>
      <w:r w:rsidR="00746F5E" w:rsidRPr="00746F5E">
        <w:t>eather patterns that will affect</w:t>
      </w:r>
      <w:r w:rsidR="00E01DEE" w:rsidRPr="00746F5E">
        <w:t xml:space="preserve"> park snow and fire</w:t>
      </w:r>
      <w:r w:rsidR="00746F5E" w:rsidRPr="00746F5E">
        <w:t xml:space="preserve"> conditions and may impact overall visitor-ship. Close coordination with the environmental research team may be necessary for an in-depth analysis on prediction. </w:t>
      </w:r>
      <w:r w:rsidR="00E01DEE" w:rsidRPr="00746F5E">
        <w:t xml:space="preserve">Overall, the recent trends show how there may not be too much room for concern at this moment. </w:t>
      </w:r>
    </w:p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Default="00746F5E" w:rsidP="004B6030"/>
    <w:p w:rsidR="00746F5E" w:rsidRPr="00746F5E" w:rsidRDefault="00746F5E" w:rsidP="004B6030"/>
    <w:sectPr w:rsidR="00746F5E" w:rsidRPr="00746F5E" w:rsidSect="00A540A1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30"/>
    <w:rsid w:val="00015898"/>
    <w:rsid w:val="00192D88"/>
    <w:rsid w:val="00226DC5"/>
    <w:rsid w:val="00491949"/>
    <w:rsid w:val="004B6030"/>
    <w:rsid w:val="004C69DF"/>
    <w:rsid w:val="00746F5E"/>
    <w:rsid w:val="00961B06"/>
    <w:rsid w:val="00976383"/>
    <w:rsid w:val="00982FD1"/>
    <w:rsid w:val="009C7847"/>
    <w:rsid w:val="00A20B3D"/>
    <w:rsid w:val="00A540A1"/>
    <w:rsid w:val="00E0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2D16"/>
  <w14:defaultImageDpi w14:val="32767"/>
  <w15:chartTrackingRefBased/>
  <w15:docId w15:val="{B1CEFE07-0FF1-E043-BC79-5E654AC31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0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B603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8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84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C78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C784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C784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9C784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C784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C784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9C784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5Dark">
    <w:name w:val="List Table 5 Dark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46F5E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">
    <w:name w:val="List Table 4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746F5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8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rma.nps.gov/Stats/SSRSReports/Park%20Specific%20Reports/Annual%20Park%20Recreation%20Visitation%20(1904%20-%20Last%20Calendar%20Year)?Park=YOS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2018-03-12T18:16:00Z</cp:lastPrinted>
  <dcterms:created xsi:type="dcterms:W3CDTF">2018-03-12T15:38:00Z</dcterms:created>
  <dcterms:modified xsi:type="dcterms:W3CDTF">2018-03-12T18:17:00Z</dcterms:modified>
</cp:coreProperties>
</file>