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EAA3F"/>
    <w:p w14:paraId="328324B5"/>
    <w:p w14:paraId="464FBF04">
      <w:pPr>
        <w:jc w:val="center"/>
      </w:pPr>
      <w:r>
        <w:rPr>
          <w:b/>
          <w:color w:val="15428B"/>
          <w:sz w:val="48"/>
        </w:rPr>
        <w:t>IRIS HIS 系统 VTE 质控指标汇总</w:t>
      </w:r>
      <w:r>
        <w:rPr>
          <w:b/>
          <w:color w:val="15428B"/>
          <w:sz w:val="48"/>
        </w:rPr>
        <w:br w:type="textWrapping"/>
      </w:r>
      <w:r>
        <w:rPr>
          <w:b/>
          <w:color w:val="15428B"/>
          <w:sz w:val="48"/>
        </w:rPr>
        <w:t>界面开发经验分享</w:t>
      </w:r>
    </w:p>
    <w:p w14:paraId="12143D01"/>
    <w:p w14:paraId="44E8D49D">
      <w:pPr>
        <w:jc w:val="center"/>
      </w:pPr>
      <w:r>
        <w:rPr>
          <w:color w:val="666666"/>
          <w:sz w:val="28"/>
        </w:rPr>
        <w:t>基于 InterSystems IRIS for Health 2021.1</w:t>
      </w:r>
      <w:r>
        <w:rPr>
          <w:color w:val="666666"/>
          <w:sz w:val="28"/>
        </w:rPr>
        <w:br w:type="textWrapping"/>
      </w:r>
      <w:r>
        <w:rPr>
          <w:color w:val="666666"/>
          <w:sz w:val="28"/>
        </w:rPr>
        <w:t>CSP + HISUI + ObjectScript 全栈开发实践</w:t>
      </w:r>
    </w:p>
    <w:p w14:paraId="04B576E3"/>
    <w:p w14:paraId="754A0E17"/>
    <w:p w14:paraId="5FF44522">
      <w:pPr>
        <w:jc w:val="center"/>
      </w:pPr>
      <w:r>
        <w:rPr>
          <w:sz w:val="24"/>
        </w:rPr>
        <w:t>作者: tyl2026</w:t>
      </w:r>
      <w:r>
        <w:rPr>
          <w:sz w:val="24"/>
        </w:rPr>
        <w:br w:type="textWrapping"/>
      </w:r>
      <w:r>
        <w:rPr>
          <w:sz w:val="24"/>
        </w:rPr>
        <w:t>日期: 2026-06-12</w:t>
      </w:r>
    </w:p>
    <w:p w14:paraId="0446289A">
      <w:r>
        <w:br w:type="page"/>
      </w:r>
    </w:p>
    <w:p w14:paraId="05382688">
      <w:pPr>
        <w:pStyle w:val="3"/>
      </w:pPr>
      <w:r>
        <w:t>目录</w:t>
      </w:r>
    </w:p>
    <w:p w14:paraId="76432C15">
      <w:pPr>
        <w:spacing w:after="80"/>
      </w:pPr>
      <w:r>
        <w:t>1. 项目背景与需求</w:t>
      </w:r>
    </w:p>
    <w:p w14:paraId="460BD0E3">
      <w:pPr>
        <w:spacing w:after="80"/>
      </w:pPr>
      <w:r>
        <w:t>2. 系统架构设计</w:t>
      </w:r>
    </w:p>
    <w:p w14:paraId="30684964">
      <w:pPr>
        <w:spacing w:after="80"/>
      </w:pPr>
      <w:r>
        <w:t>3. 前端界面开发</w:t>
      </w:r>
    </w:p>
    <w:p w14:paraId="01811D52">
      <w:pPr>
        <w:spacing w:after="80"/>
      </w:pPr>
      <w:r>
        <w:t xml:space="preserve">  3.1 页面布局</w:t>
      </w:r>
    </w:p>
    <w:p w14:paraId="7D7CE533">
      <w:pPr>
        <w:spacing w:after="80"/>
      </w:pPr>
      <w:r>
        <w:t xml:space="preserve">  3.2 HISUI 组件选型</w:t>
      </w:r>
    </w:p>
    <w:p w14:paraId="5DB3CF68">
      <w:pPr>
        <w:spacing w:after="80"/>
      </w:pPr>
      <w:r>
        <w:t xml:space="preserve">  3.3 数据可视化</w:t>
      </w:r>
    </w:p>
    <w:p w14:paraId="260433CD">
      <w:pPr>
        <w:spacing w:after="80"/>
      </w:pPr>
      <w:r>
        <w:t xml:space="preserve">  3.4 交互设计</w:t>
      </w:r>
    </w:p>
    <w:p w14:paraId="4524B1CE">
      <w:pPr>
        <w:spacing w:after="80"/>
      </w:pPr>
      <w:r>
        <w:t>4. 后端接口开发</w:t>
      </w:r>
    </w:p>
    <w:p w14:paraId="73151145">
      <w:pPr>
        <w:spacing w:after="80"/>
      </w:pPr>
      <w:r>
        <w:t xml:space="preserve">  4.1 数据模型分析</w:t>
      </w:r>
    </w:p>
    <w:p w14:paraId="39CB9B5F">
      <w:pPr>
        <w:spacing w:after="80"/>
      </w:pPr>
      <w:r>
        <w:t xml:space="preserve">  4.2 查询接口实现</w:t>
      </w:r>
    </w:p>
    <w:p w14:paraId="4437D177">
      <w:pPr>
        <w:spacing w:after="80"/>
      </w:pPr>
      <w:r>
        <w:t xml:space="preserve">  4.3 Global 索引优化</w:t>
      </w:r>
    </w:p>
    <w:p w14:paraId="498A38DC">
      <w:pPr>
        <w:spacing w:after="80"/>
      </w:pPr>
      <w:r>
        <w:t>5. 关键技术难点</w:t>
      </w:r>
    </w:p>
    <w:p w14:paraId="4B42A423">
      <w:pPr>
        <w:spacing w:after="80"/>
      </w:pPr>
      <w:r>
        <w:t xml:space="preserve">  5.1 IRIS 编译陷阱</w:t>
      </w:r>
    </w:p>
    <w:p w14:paraId="57B2A284">
      <w:pPr>
        <w:spacing w:after="80"/>
      </w:pPr>
      <w:r>
        <w:t xml:space="preserve">  5.2 IE11 JavaScript 兼容性</w:t>
      </w:r>
    </w:p>
    <w:p w14:paraId="4F452CFA">
      <w:pPr>
        <w:spacing w:after="80"/>
      </w:pPr>
      <w:r>
        <w:t xml:space="preserve">  5.3 数据一致性保证</w:t>
      </w:r>
    </w:p>
    <w:p w14:paraId="781DEED9">
      <w:pPr>
        <w:spacing w:after="80"/>
      </w:pPr>
      <w:r>
        <w:t xml:space="preserve">  5.4 临时 Global 命名规范</w:t>
      </w:r>
    </w:p>
    <w:p w14:paraId="0AEB97AC">
      <w:pPr>
        <w:spacing w:after="80"/>
      </w:pPr>
      <w:r>
        <w:t>6. 界面效果展示</w:t>
      </w:r>
    </w:p>
    <w:p w14:paraId="33AAE4B6">
      <w:pPr>
        <w:spacing w:after="80"/>
      </w:pPr>
      <w:r>
        <w:t>7. 经验总结与文件清单</w:t>
      </w:r>
    </w:p>
    <w:p w14:paraId="4C0A952F">
      <w:r>
        <w:br w:type="page"/>
      </w:r>
    </w:p>
    <w:p w14:paraId="0CA1E1CE">
      <w:pPr>
        <w:pStyle w:val="3"/>
      </w:pPr>
      <w:r>
        <w:t>1. 项目背景与需求</w:t>
      </w:r>
    </w:p>
    <w:p w14:paraId="1F9DDB39">
      <w:r>
        <w:t>VTE（Venous Thromboembolism，静脉血栓栓塞症）是住院患者常见的并发症之一，具有高发病率、高致死率的特点。国家卫健委将 VTE 防治纳入医疗质量安全改进目标，要求医院建立 VTE 风险评估与预防管理体系。</w:t>
      </w:r>
    </w:p>
    <w:p w14:paraId="3DFED2D2">
      <w:r>
        <w:t>本项目在 IRIS HIS 系统中开发 VTE 质控指标汇总查询界面，对住院患者的 VTE 风险评估率、预防措施实施率等 8 项核心指标进行实时统计与展示，帮助医务管理部门监控 VTE 防治质量。</w:t>
      </w:r>
    </w:p>
    <w:p w14:paraId="727FEBFF">
      <w:pPr>
        <w:pStyle w:val="4"/>
      </w:pPr>
      <w:r>
        <w:t>核心指标</w:t>
      </w:r>
    </w:p>
    <w:p w14:paraId="7749C70C">
      <w:r>
        <w:t>共 8 项指标，分为两大类：</w:t>
      </w:r>
    </w:p>
    <w:p w14:paraId="0CF71650">
      <w:pPr>
        <w:pStyle w:val="16"/>
      </w:pPr>
      <w:r>
        <w:t>一、评估质量指标（4 项）：</w:t>
      </w:r>
    </w:p>
    <w:p w14:paraId="06243978">
      <w:pPr>
        <w:pStyle w:val="23"/>
      </w:pPr>
      <w:r>
        <w:t>A01 - VTE 风险评估率</w:t>
      </w:r>
    </w:p>
    <w:p w14:paraId="1A58D7BF">
      <w:pPr>
        <w:pStyle w:val="23"/>
      </w:pPr>
      <w:r>
        <w:t>A02 - VTE 中高风险比例</w:t>
      </w:r>
    </w:p>
    <w:p w14:paraId="737FA213">
      <w:pPr>
        <w:pStyle w:val="23"/>
      </w:pPr>
      <w:r>
        <w:t>A03 - 出血风险评估率</w:t>
      </w:r>
    </w:p>
    <w:p w14:paraId="27A780E5">
      <w:pPr>
        <w:pStyle w:val="23"/>
      </w:pPr>
      <w:r>
        <w:t>A04 - 出血高风险比例</w:t>
      </w:r>
    </w:p>
    <w:p w14:paraId="57E36B4B">
      <w:pPr>
        <w:pStyle w:val="16"/>
      </w:pPr>
      <w:r>
        <w:t>二、预防质量指标（4 项）：</w:t>
      </w:r>
    </w:p>
    <w:p w14:paraId="73C39A08">
      <w:pPr>
        <w:pStyle w:val="23"/>
      </w:pPr>
      <w:r>
        <w:t>P01 - 药物预防实施率</w:t>
      </w:r>
    </w:p>
    <w:p w14:paraId="6ADB135E">
      <w:pPr>
        <w:pStyle w:val="23"/>
      </w:pPr>
      <w:r>
        <w:t>P02 - 机械预防实施率</w:t>
      </w:r>
    </w:p>
    <w:p w14:paraId="6478DC87">
      <w:pPr>
        <w:pStyle w:val="23"/>
      </w:pPr>
      <w:r>
        <w:t>P03 - 联合预防实施率</w:t>
      </w:r>
    </w:p>
    <w:p w14:paraId="445E611F">
      <w:pPr>
        <w:pStyle w:val="23"/>
      </w:pPr>
      <w:r>
        <w:t>P04 - VTE 规范预防率</w:t>
      </w:r>
    </w:p>
    <w:p w14:paraId="15CBC039">
      <w:pPr>
        <w:pStyle w:val="4"/>
      </w:pPr>
      <w:r>
        <w:t>适用人群</w:t>
      </w:r>
    </w:p>
    <w:p w14:paraId="38610D75">
      <w:r>
        <w:t>纳入标准：年龄 &gt;= 13 岁的住院患者</w:t>
      </w:r>
    </w:p>
    <w:p w14:paraId="378C3606">
      <w:r>
        <w:t>排除标准：住院时间 &lt;= 24h、已接受抗凝治疗者（已确诊 VTE/房颤/急性心梗/缺血性卒中、CRRT/ECMO/血透、机械瓣膜植入）</w:t>
      </w:r>
    </w:p>
    <w:p w14:paraId="4A773471">
      <w:r>
        <w:br w:type="page"/>
      </w:r>
    </w:p>
    <w:p w14:paraId="5559BB38">
      <w:pPr>
        <w:pStyle w:val="3"/>
      </w:pPr>
      <w:r>
        <w:t>2. 系统架构设计</w:t>
      </w:r>
    </w:p>
    <w:p w14:paraId="5E4DE256">
      <w:pPr>
        <w:pStyle w:val="4"/>
      </w:pPr>
      <w:r>
        <w:t>2.1 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9"/>
        <w:gridCol w:w="2824"/>
        <w:gridCol w:w="3253"/>
      </w:tblGrid>
      <w:tr w14:paraId="10523F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9A9DFD">
            <w:pPr>
              <w:spacing w:after="0" w:line="240" w:lineRule="auto"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</w:tcPr>
          <w:p w14:paraId="77FEFAC2">
            <w:pPr>
              <w:spacing w:after="0" w:line="240" w:lineRule="auto"/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00E4BBF7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0DAFF4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21E6C5">
            <w:pPr>
              <w:spacing w:after="0" w:line="240" w:lineRule="auto"/>
            </w:pPr>
            <w:r>
              <w:t>前端 UI</w:t>
            </w:r>
          </w:p>
        </w:tc>
        <w:tc>
          <w:tcPr>
            <w:tcW w:w="2880" w:type="dxa"/>
          </w:tcPr>
          <w:p w14:paraId="19D9BA43">
            <w:pPr>
              <w:spacing w:after="0" w:line="240" w:lineRule="auto"/>
            </w:pPr>
            <w:r>
              <w:t>HISUI (jQuery EasyUI)</w:t>
            </w:r>
          </w:p>
        </w:tc>
        <w:tc>
          <w:tcPr>
            <w:tcW w:w="2880" w:type="dxa"/>
          </w:tcPr>
          <w:p w14:paraId="23AD4ADC">
            <w:pPr>
              <w:spacing w:after="0" w:line="240" w:lineRule="auto"/>
            </w:pPr>
            <w:r>
              <w:t>hisui-layout / datagrid / datebox / combogrid</w:t>
            </w:r>
          </w:p>
        </w:tc>
      </w:tr>
      <w:tr w14:paraId="4ECA7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5EDE15">
            <w:pPr>
              <w:spacing w:after="0" w:line="240" w:lineRule="auto"/>
            </w:pPr>
            <w:r>
              <w:t>服务端页面</w:t>
            </w:r>
          </w:p>
        </w:tc>
        <w:tc>
          <w:tcPr>
            <w:tcW w:w="2880" w:type="dxa"/>
          </w:tcPr>
          <w:p w14:paraId="6D930EE9">
            <w:pPr>
              <w:spacing w:after="0" w:line="240" w:lineRule="auto"/>
            </w:pPr>
            <w:r>
              <w:t>CSP (Cache Server Pages)</w:t>
            </w:r>
          </w:p>
        </w:tc>
        <w:tc>
          <w:tcPr>
            <w:tcW w:w="2880" w:type="dxa"/>
          </w:tcPr>
          <w:p w14:paraId="5AF1F228">
            <w:pPr>
              <w:spacing w:after="0" w:line="240" w:lineRule="auto"/>
            </w:pPr>
            <w:r>
              <w:t>&lt;csp:content&gt; + &lt;HISUI&gt; 标签</w:t>
            </w:r>
          </w:p>
        </w:tc>
      </w:tr>
      <w:tr w14:paraId="22B5E1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273C8F">
            <w:pPr>
              <w:spacing w:after="0" w:line="240" w:lineRule="auto"/>
            </w:pPr>
            <w:r>
              <w:t>后端业务</w:t>
            </w:r>
          </w:p>
        </w:tc>
        <w:tc>
          <w:tcPr>
            <w:tcW w:w="2880" w:type="dxa"/>
          </w:tcPr>
          <w:p w14:paraId="430F42A1">
            <w:pPr>
              <w:spacing w:after="0" w:line="240" w:lineRule="auto"/>
            </w:pPr>
            <w:r>
              <w:t>ObjectScript (.cls)</w:t>
            </w:r>
          </w:p>
        </w:tc>
        <w:tc>
          <w:tcPr>
            <w:tcW w:w="2880" w:type="dxa"/>
          </w:tcPr>
          <w:p w14:paraId="239CACA7">
            <w:pPr>
              <w:spacing w:after="0" w:line="240" w:lineRule="auto"/>
            </w:pPr>
            <w:r>
              <w:t>%RegisteredObject + Query/Fetch/Close</w:t>
            </w:r>
          </w:p>
        </w:tc>
      </w:tr>
      <w:tr w14:paraId="6EC3C2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31C276">
            <w:pPr>
              <w:spacing w:after="0" w:line="240" w:lineRule="auto"/>
            </w:pPr>
            <w:r>
              <w:t>数据层</w:t>
            </w:r>
          </w:p>
        </w:tc>
        <w:tc>
          <w:tcPr>
            <w:tcW w:w="2880" w:type="dxa"/>
          </w:tcPr>
          <w:p w14:paraId="62FD6BD5">
            <w:pPr>
              <w:spacing w:after="0" w:line="240" w:lineRule="auto"/>
            </w:pPr>
            <w:r>
              <w:t>IRIS Global + SQL</w:t>
            </w:r>
          </w:p>
        </w:tc>
        <w:tc>
          <w:tcPr>
            <w:tcW w:w="2880" w:type="dxa"/>
          </w:tcPr>
          <w:p w14:paraId="2854010D">
            <w:pPr>
              <w:spacing w:after="0" w:line="240" w:lineRule="auto"/>
            </w:pPr>
            <w:r>
              <w:t>^PAADM / ^PAPER / ^NurMp.DHCTempMultData</w:t>
            </w:r>
          </w:p>
        </w:tc>
      </w:tr>
      <w:tr w14:paraId="78781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18CF9">
            <w:pPr>
              <w:spacing w:after="0" w:line="240" w:lineRule="auto"/>
            </w:pPr>
            <w:r>
              <w:t>数据展示</w:t>
            </w:r>
          </w:p>
        </w:tc>
        <w:tc>
          <w:tcPr>
            <w:tcW w:w="2880" w:type="dxa"/>
          </w:tcPr>
          <w:p w14:paraId="5111CC2E">
            <w:pPr>
              <w:spacing w:after="0" w:line="240" w:lineRule="auto"/>
            </w:pPr>
            <w:r>
              <w:t>JavaScript + CSV</w:t>
            </w:r>
          </w:p>
        </w:tc>
        <w:tc>
          <w:tcPr>
            <w:tcW w:w="2880" w:type="dxa"/>
          </w:tcPr>
          <w:p w14:paraId="6353939A">
            <w:pPr>
              <w:spacing w:after="0" w:line="240" w:lineRule="auto"/>
            </w:pPr>
            <w:r>
              <w:t>BOM-UTF8 CSV 导出兼容 Excel</w:t>
            </w:r>
          </w:p>
        </w:tc>
      </w:tr>
    </w:tbl>
    <w:p w14:paraId="3DCE0835"/>
    <w:p w14:paraId="1F5D7987">
      <w:pPr>
        <w:pStyle w:val="4"/>
      </w:pPr>
      <w:r>
        <w:t>2.2 三层架构</w:t>
      </w:r>
    </w:p>
    <w:p w14:paraId="3B5E3DFA">
      <w:pPr>
        <w:pStyle w:val="16"/>
      </w:pPr>
      <w:r>
        <w:t>展示层:  CSP 页面 (vtequalityindicators.csp) -&gt; HISUI 组件渲染</w:t>
      </w:r>
    </w:p>
    <w:p w14:paraId="0EE702B1">
      <w:pPr>
        <w:pStyle w:val="16"/>
      </w:pPr>
      <w:r>
        <w:t>业务层:  web.dhcvte.QryIndicators + web.dhcvte.QryPatientList</w:t>
      </w:r>
    </w:p>
    <w:p w14:paraId="798721D0">
      <w:pPr>
        <w:pStyle w:val="16"/>
      </w:pPr>
      <w:r>
        <w:t>数据层:  ^NurMp.DHCTempMultData + ^PAADM + ^PAPER + ^CTLOC</w:t>
      </w:r>
    </w:p>
    <w:p w14:paraId="4871569F"/>
    <w:p w14:paraId="6803A81C">
      <w:pPr>
        <w:pStyle w:val="156"/>
      </w:pPr>
      <w:r>
        <w:t>[截图位置] 系统架构图</w:t>
      </w:r>
    </w:p>
    <w:p w14:paraId="419835C2">
      <w:r>
        <w:br w:type="page"/>
      </w:r>
    </w:p>
    <w:p w14:paraId="7C7373F1">
      <w:pPr>
        <w:pStyle w:val="3"/>
      </w:pPr>
      <w:r>
        <w:t>3. 前端界面开发</w:t>
      </w:r>
    </w:p>
    <w:p w14:paraId="10C59AF6">
      <w:pPr>
        <w:pStyle w:val="4"/>
      </w:pPr>
      <w:r>
        <w:t>3.1 页面布局</w:t>
      </w:r>
    </w:p>
    <w:p w14:paraId="4A3C639B">
      <w:r>
        <w:t>采用 hisui-layout 嵌套布局。外层 north(筛选+概览) + center(指标+明细) + south(脚注)。</w:t>
      </w:r>
      <w:r>
        <w:br w:type="textWrapping"/>
      </w:r>
      <w:r>
        <w:t>内层 hisui-layout 将指标区(accordion)和患者明细区(datagrid)上下分割。</w:t>
      </w:r>
    </w:p>
    <w:p w14:paraId="2B60BA84">
      <w:r>
        <w:t>布局结构:</w:t>
      </w:r>
      <w:r>
        <w:br w:type="textWrapping"/>
      </w:r>
      <w:r>
        <w:t xml:space="preserve">  north: filterBar (日期+科室+按钮) + summaryRow (4张概览卡片)</w:t>
      </w:r>
      <w:r>
        <w:br w:type="textWrapping"/>
      </w:r>
      <w:r>
        <w:t xml:space="preserve">  center:</w:t>
      </w:r>
      <w:r>
        <w:br w:type="textWrapping"/>
      </w:r>
      <w:r>
        <w:t xml:space="preserve">    inner-north: accordion (评估质量4行 / 预防质量4行)</w:t>
      </w:r>
      <w:r>
        <w:br w:type="textWrapping"/>
      </w:r>
      <w:r>
        <w:t xml:space="preserve">    inner-center: patientDetail datagrid (患者明细)</w:t>
      </w:r>
      <w:r>
        <w:br w:type="textWrapping"/>
      </w:r>
      <w:r>
        <w:t xml:space="preserve">  south: footerNote (纳入/排除标准)</w:t>
      </w:r>
    </w:p>
    <w:p w14:paraId="74B532F5">
      <w:pPr>
        <w:pStyle w:val="156"/>
      </w:pPr>
      <w:r>
        <w:t>[截图位置] 页面整体布局截图</w:t>
      </w:r>
    </w:p>
    <w:p w14:paraId="6720224C">
      <w:pPr>
        <w:pStyle w:val="4"/>
      </w:pPr>
      <w:r>
        <w:t>3.2 HISUI 组件选型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74"/>
      </w:tblGrid>
      <w:tr w14:paraId="070D4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BFF1AE">
            <w:pPr>
              <w:spacing w:after="0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2880" w:type="dxa"/>
          </w:tcPr>
          <w:p w14:paraId="362C9991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 w14:paraId="691549F7">
            <w:pPr>
              <w:spacing w:after="0" w:line="240" w:lineRule="auto"/>
            </w:pPr>
            <w:r>
              <w:rPr>
                <w:b/>
              </w:rPr>
              <w:t>关键配置</w:t>
            </w:r>
          </w:p>
        </w:tc>
      </w:tr>
      <w:tr w14:paraId="4AF4A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74E744">
            <w:pPr>
              <w:spacing w:after="0" w:line="240" w:lineRule="auto"/>
            </w:pPr>
            <w:r>
              <w:t>hisui-layout</w:t>
            </w:r>
          </w:p>
        </w:tc>
        <w:tc>
          <w:tcPr>
            <w:tcW w:w="2880" w:type="dxa"/>
          </w:tcPr>
          <w:p w14:paraId="6C20BD84">
            <w:pPr>
              <w:spacing w:after="0" w:line="240" w:lineRule="auto"/>
            </w:pPr>
            <w:r>
              <w:t>页面骨架</w:t>
            </w:r>
          </w:p>
        </w:tc>
        <w:tc>
          <w:tcPr>
            <w:tcW w:w="2880" w:type="dxa"/>
          </w:tcPr>
          <w:p w14:paraId="07CB9A86">
            <w:pPr>
              <w:spacing w:after="0" w:line="240" w:lineRule="auto"/>
            </w:pPr>
            <w:r>
              <w:t>fit:true, region:north/center/south</w:t>
            </w:r>
          </w:p>
        </w:tc>
      </w:tr>
      <w:tr w14:paraId="4A812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45DB39">
            <w:pPr>
              <w:spacing w:after="0" w:line="240" w:lineRule="auto"/>
            </w:pPr>
            <w:r>
              <w:t>hisui-datebox</w:t>
            </w:r>
          </w:p>
        </w:tc>
        <w:tc>
          <w:tcPr>
            <w:tcW w:w="2880" w:type="dxa"/>
          </w:tcPr>
          <w:p w14:paraId="03B06FE8">
            <w:pPr>
              <w:spacing w:after="0" w:line="240" w:lineRule="auto"/>
            </w:pPr>
            <w:r>
              <w:t>日期选择</w:t>
            </w:r>
          </w:p>
        </w:tc>
        <w:tc>
          <w:tcPr>
            <w:tcW w:w="2880" w:type="dxa"/>
          </w:tcPr>
          <w:p w14:paraId="50185527">
            <w:pPr>
              <w:spacing w:after="0" w:line="240" w:lineRule="auto"/>
            </w:pPr>
            <w:r>
              <w:t>结合快捷按钮(今天/近7天/本月/上月)</w:t>
            </w:r>
          </w:p>
        </w:tc>
      </w:tr>
      <w:tr w14:paraId="09AB6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C8CFBC">
            <w:pPr>
              <w:spacing w:after="0" w:line="240" w:lineRule="auto"/>
            </w:pPr>
            <w:r>
              <w:t>hisui-combogrid</w:t>
            </w:r>
          </w:p>
        </w:tc>
        <w:tc>
          <w:tcPr>
            <w:tcW w:w="2880" w:type="dxa"/>
          </w:tcPr>
          <w:p w14:paraId="0431C16A">
            <w:pPr>
              <w:spacing w:after="0" w:line="240" w:lineRule="auto"/>
            </w:pPr>
            <w:r>
              <w:t>科室多选</w:t>
            </w:r>
          </w:p>
        </w:tc>
        <w:tc>
          <w:tcPr>
            <w:tcW w:w="2880" w:type="dxa"/>
          </w:tcPr>
          <w:p w14:paraId="72230A9D">
            <w:pPr>
              <w:spacing w:after="0" w:line="240" w:lineRule="auto"/>
            </w:pPr>
            <w:r>
              <w:t>checkbox + 远程加载 CTLOC 数据</w:t>
            </w:r>
          </w:p>
        </w:tc>
      </w:tr>
      <w:tr w14:paraId="5C419F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946CE5">
            <w:pPr>
              <w:spacing w:after="0" w:line="240" w:lineRule="auto"/>
            </w:pPr>
            <w:r>
              <w:t>hisui-accordion</w:t>
            </w:r>
          </w:p>
        </w:tc>
        <w:tc>
          <w:tcPr>
            <w:tcW w:w="2880" w:type="dxa"/>
          </w:tcPr>
          <w:p w14:paraId="424F4043">
            <w:pPr>
              <w:spacing w:after="0" w:line="240" w:lineRule="auto"/>
            </w:pPr>
            <w:r>
              <w:t>指标分类</w:t>
            </w:r>
          </w:p>
        </w:tc>
        <w:tc>
          <w:tcPr>
            <w:tcW w:w="2880" w:type="dxa"/>
          </w:tcPr>
          <w:p w14:paraId="5BCA9500">
            <w:pPr>
              <w:spacing w:after="0" w:line="240" w:lineRule="auto"/>
            </w:pPr>
            <w:r>
              <w:t>iconCls 区分评估/预防两个面板</w:t>
            </w:r>
          </w:p>
        </w:tc>
      </w:tr>
      <w:tr w14:paraId="7DE531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09CC0E">
            <w:pPr>
              <w:spacing w:after="0" w:line="240" w:lineRule="auto"/>
            </w:pPr>
            <w:r>
              <w:t>hisui-datagrid</w:t>
            </w:r>
          </w:p>
        </w:tc>
        <w:tc>
          <w:tcPr>
            <w:tcW w:w="2880" w:type="dxa"/>
          </w:tcPr>
          <w:p w14:paraId="7975780B">
            <w:pPr>
              <w:spacing w:after="0" w:line="240" w:lineRule="auto"/>
            </w:pPr>
            <w:r>
              <w:t>数据表格</w:t>
            </w:r>
          </w:p>
        </w:tc>
        <w:tc>
          <w:tcPr>
            <w:tcW w:w="2880" w:type="dxa"/>
          </w:tcPr>
          <w:p w14:paraId="0A819E29">
            <w:pPr>
              <w:spacing w:after="0" w:line="240" w:lineRule="auto"/>
            </w:pPr>
            <w:r>
              <w:t>分页/排序/行点击联动/styler着色</w:t>
            </w:r>
          </w:p>
        </w:tc>
      </w:tr>
      <w:tr w14:paraId="467950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C50A23">
            <w:pPr>
              <w:spacing w:after="0" w:line="240" w:lineRule="auto"/>
            </w:pPr>
            <w:r>
              <w:t>hisui-linkbutton</w:t>
            </w:r>
          </w:p>
        </w:tc>
        <w:tc>
          <w:tcPr>
            <w:tcW w:w="2880" w:type="dxa"/>
          </w:tcPr>
          <w:p w14:paraId="65CD58DD">
            <w:pPr>
              <w:spacing w:after="0" w:line="240" w:lineRule="auto"/>
            </w:pPr>
            <w:r>
              <w:t>操作按钮</w:t>
            </w:r>
          </w:p>
        </w:tc>
        <w:tc>
          <w:tcPr>
            <w:tcW w:w="2880" w:type="dxa"/>
          </w:tcPr>
          <w:p w14:paraId="3814D1E2">
            <w:pPr>
              <w:spacing w:after="0" w:line="240" w:lineRule="auto"/>
            </w:pPr>
            <w:r>
              <w:t>查询/导出指标/导出明细/清空</w:t>
            </w:r>
          </w:p>
        </w:tc>
      </w:tr>
    </w:tbl>
    <w:p w14:paraId="6479E65F"/>
    <w:p w14:paraId="769C6BD6">
      <w:pPr>
        <w:pStyle w:val="4"/>
      </w:pPr>
      <w:r>
        <w:t>3.3 数据可视化</w:t>
      </w:r>
    </w:p>
    <w:p w14:paraId="1E36D8F1">
      <w:pPr>
        <w:pStyle w:val="16"/>
      </w:pPr>
      <w:r>
        <w:t>指标比率列: "进度条 + 百分比" 双通道展示</w:t>
      </w:r>
    </w:p>
    <w:p w14:paraId="745C5758">
      <w:pPr>
        <w:pStyle w:val="23"/>
      </w:pPr>
      <w:r>
        <w:t xml:space="preserve">  绿色 (&gt;=80%): 达标</w:t>
      </w:r>
    </w:p>
    <w:p w14:paraId="1268F42E">
      <w:pPr>
        <w:pStyle w:val="23"/>
      </w:pPr>
      <w:r>
        <w:t xml:space="preserve">  橙色 (50%-80%): 预警</w:t>
      </w:r>
    </w:p>
    <w:p w14:paraId="3A96529F">
      <w:pPr>
        <w:pStyle w:val="23"/>
      </w:pPr>
      <w:r>
        <w:t xml:space="preserve">  红色 (&lt;50%): 不达标</w:t>
      </w:r>
    </w:p>
    <w:p w14:paraId="38B83E98">
      <w:pPr>
        <w:pStyle w:val="16"/>
      </w:pPr>
      <w:r>
        <w:t>风险等级: 彩色药丸标签 (极高危=红, 高危=橙, 中危=黄, 低危=绿)</w:t>
      </w:r>
    </w:p>
    <w:p w14:paraId="23DA8E73">
      <w:pPr>
        <w:pStyle w:val="16"/>
      </w:pPr>
      <w:r>
        <w:t>概览卡片: 出院总数/已评估数/中高危人数/出血高危人数, 查询后联动更新</w:t>
      </w:r>
    </w:p>
    <w:p w14:paraId="457917AF">
      <w:pPr>
        <w:pStyle w:val="156"/>
        <w:ind w:left="0" w:leftChars="0" w:firstLine="0" w:firstLineChars="0"/>
      </w:pPr>
      <w:r>
        <w:drawing>
          <wp:inline distT="0" distB="0" distL="114300" distR="114300">
            <wp:extent cx="5473065" cy="894715"/>
            <wp:effectExtent l="0" t="0" r="133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29273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14A4">
      <w:pPr>
        <w:pStyle w:val="4"/>
      </w:pPr>
      <w:r>
        <w:t>3.4 交互设计</w:t>
      </w:r>
    </w:p>
    <w:p w14:paraId="31646597">
      <w:pPr>
        <w:pStyle w:val="14"/>
      </w:pPr>
      <w:r>
        <w:t>日期快捷按钮: 今天/近7天/本月/上月, 一键切换, 带 active 高亮态</w:t>
      </w:r>
    </w:p>
    <w:p w14:paraId="1D1EAF7B">
      <w:pPr>
        <w:pStyle w:val="14"/>
      </w:pPr>
      <w:r>
        <w:t>回车键触发查询 (焦点不在下拉面板时)</w:t>
      </w:r>
    </w:p>
    <w:p w14:paraId="29D104AF">
      <w:pPr>
        <w:pStyle w:val="14"/>
      </w:pPr>
      <w:r>
        <w:t>点击指标行 -&gt; 自动查询对应患者明细 (指标-&gt;患者下钻)</w:t>
      </w:r>
    </w:p>
    <w:p w14:paraId="707CDD76">
      <w:pPr>
        <w:pStyle w:val="14"/>
      </w:pPr>
      <w:r>
        <w:t>查询时显示旋转 loading 遮罩, 数据加载完成后自动隐藏</w:t>
      </w:r>
    </w:p>
    <w:p w14:paraId="30AD13F1">
      <w:pPr>
        <w:pStyle w:val="14"/>
      </w:pPr>
      <w:r>
        <w:t>导出 CSV 带 BOM 头(\uFEFF), 兼容 Excel UTF-8 中文</w:t>
      </w:r>
    </w:p>
    <w:p w14:paraId="3CCAA600">
      <w:pPr>
        <w:pStyle w:val="14"/>
      </w:pPr>
      <w:r>
        <w:t>打印样式 @media print 隐藏筛选栏和脚注</w:t>
      </w:r>
    </w:p>
    <w:p w14:paraId="37BA28FB">
      <w:r>
        <w:drawing>
          <wp:inline distT="0" distB="0" distL="114300" distR="114300">
            <wp:extent cx="5478145" cy="2966085"/>
            <wp:effectExtent l="0" t="0" r="825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14:paraId="25248D96">
      <w:pPr>
        <w:pStyle w:val="3"/>
      </w:pPr>
      <w:r>
        <w:t>4. 后端接口开发</w:t>
      </w:r>
    </w:p>
    <w:p w14:paraId="5A2FA4B5">
      <w:pPr>
        <w:pStyle w:val="4"/>
      </w:pPr>
      <w:r>
        <w:t>4.1 数据模型分析</w:t>
      </w:r>
    </w:p>
    <w:p w14:paraId="2ADA9691">
      <w:r>
        <w:t>VTE 评估数据存储在护理病历系统 NurMp.DHCTempMultData 表中, 包含两种评估模板: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1515"/>
        <w:gridCol w:w="1505"/>
        <w:gridCol w:w="1461"/>
        <w:gridCol w:w="1671"/>
      </w:tblGrid>
      <w:tr w14:paraId="4ED3E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BDE8F7">
            <w:pPr>
              <w:spacing w:after="0" w:line="240" w:lineRule="auto"/>
            </w:pPr>
            <w:r>
              <w:rPr>
                <w:b/>
              </w:rPr>
              <w:t>模板代码</w:t>
            </w:r>
          </w:p>
        </w:tc>
        <w:tc>
          <w:tcPr>
            <w:tcW w:w="1728" w:type="dxa"/>
          </w:tcPr>
          <w:p w14:paraId="5310C8FB">
            <w:pPr>
              <w:spacing w:after="0" w:line="240" w:lineRule="auto"/>
            </w:pPr>
            <w:r>
              <w:rPr>
                <w:b/>
              </w:rPr>
              <w:t>模板名称</w:t>
            </w:r>
          </w:p>
        </w:tc>
        <w:tc>
          <w:tcPr>
            <w:tcW w:w="1728" w:type="dxa"/>
          </w:tcPr>
          <w:p w14:paraId="749571EB">
            <w:pPr>
              <w:spacing w:after="0" w:line="240" w:lineRule="auto"/>
            </w:pPr>
            <w:r>
              <w:rPr>
                <w:b/>
              </w:rPr>
              <w:t>VTE评分</w:t>
            </w:r>
          </w:p>
        </w:tc>
        <w:tc>
          <w:tcPr>
            <w:tcW w:w="1728" w:type="dxa"/>
          </w:tcPr>
          <w:p w14:paraId="16B52797">
            <w:pPr>
              <w:spacing w:after="0" w:line="240" w:lineRule="auto"/>
            </w:pPr>
            <w:r>
              <w:rPr>
                <w:b/>
              </w:rPr>
              <w:t>药物预防</w:t>
            </w:r>
          </w:p>
        </w:tc>
        <w:tc>
          <w:tcPr>
            <w:tcW w:w="1728" w:type="dxa"/>
          </w:tcPr>
          <w:p w14:paraId="7C8531AD">
            <w:pPr>
              <w:spacing w:after="0" w:line="240" w:lineRule="auto"/>
            </w:pPr>
            <w:r>
              <w:rPr>
                <w:b/>
              </w:rPr>
              <w:t>机械预防</w:t>
            </w:r>
          </w:p>
        </w:tc>
      </w:tr>
      <w:tr w14:paraId="2ED36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FB12A6">
            <w:pPr>
              <w:spacing w:after="0" w:line="240" w:lineRule="auto"/>
            </w:pPr>
            <w:r>
              <w:t>DHCNURJMXSSSZPGLR</w:t>
            </w:r>
          </w:p>
        </w:tc>
        <w:tc>
          <w:tcPr>
            <w:tcW w:w="1728" w:type="dxa"/>
          </w:tcPr>
          <w:p w14:paraId="5E5FA901">
            <w:pPr>
              <w:spacing w:after="0" w:line="240" w:lineRule="auto"/>
            </w:pPr>
            <w:r>
              <w:t>Padua静脉血栓栓塞症</w:t>
            </w:r>
          </w:p>
        </w:tc>
        <w:tc>
          <w:tcPr>
            <w:tcW w:w="1728" w:type="dxa"/>
          </w:tcPr>
          <w:p w14:paraId="0A12908F">
            <w:pPr>
              <w:spacing w:after="0" w:line="240" w:lineRule="auto"/>
            </w:pPr>
            <w:r>
              <w:t>Item122</w:t>
            </w:r>
          </w:p>
        </w:tc>
        <w:tc>
          <w:tcPr>
            <w:tcW w:w="1728" w:type="dxa"/>
          </w:tcPr>
          <w:p w14:paraId="63CD8941">
            <w:pPr>
              <w:spacing w:after="0" w:line="240" w:lineRule="auto"/>
            </w:pPr>
            <w:r>
              <w:t>Item19</w:t>
            </w:r>
          </w:p>
        </w:tc>
        <w:tc>
          <w:tcPr>
            <w:tcW w:w="1728" w:type="dxa"/>
          </w:tcPr>
          <w:p w14:paraId="496560A8">
            <w:pPr>
              <w:spacing w:after="0" w:line="240" w:lineRule="auto"/>
            </w:pPr>
            <w:r>
              <w:t>Item124/125</w:t>
            </w:r>
          </w:p>
        </w:tc>
      </w:tr>
      <w:tr w14:paraId="6C4F0B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42C2C9">
            <w:pPr>
              <w:spacing w:after="0" w:line="240" w:lineRule="auto"/>
            </w:pPr>
            <w:r>
              <w:t>DHCNURJMXSLR</w:t>
            </w:r>
          </w:p>
        </w:tc>
        <w:tc>
          <w:tcPr>
            <w:tcW w:w="1728" w:type="dxa"/>
          </w:tcPr>
          <w:p w14:paraId="0F994792">
            <w:pPr>
              <w:spacing w:after="0" w:line="240" w:lineRule="auto"/>
            </w:pPr>
            <w:r>
              <w:t>静脉血栓风险评估(Caprini)</w:t>
            </w:r>
          </w:p>
        </w:tc>
        <w:tc>
          <w:tcPr>
            <w:tcW w:w="1728" w:type="dxa"/>
          </w:tcPr>
          <w:p w14:paraId="651595CD">
            <w:pPr>
              <w:spacing w:after="0" w:line="240" w:lineRule="auto"/>
            </w:pPr>
            <w:r>
              <w:t>Item98</w:t>
            </w:r>
          </w:p>
        </w:tc>
        <w:tc>
          <w:tcPr>
            <w:tcW w:w="1728" w:type="dxa"/>
          </w:tcPr>
          <w:p w14:paraId="3FB0CB10">
            <w:pPr>
              <w:spacing w:after="0" w:line="240" w:lineRule="auto"/>
            </w:pPr>
            <w:r>
              <w:t>Item19</w:t>
            </w:r>
          </w:p>
        </w:tc>
        <w:tc>
          <w:tcPr>
            <w:tcW w:w="1728" w:type="dxa"/>
          </w:tcPr>
          <w:p w14:paraId="28A8C389">
            <w:pPr>
              <w:spacing w:after="0" w:line="240" w:lineRule="auto"/>
            </w:pPr>
            <w:r>
              <w:t>Item100/101</w:t>
            </w:r>
          </w:p>
        </w:tc>
      </w:tr>
    </w:tbl>
    <w:p w14:paraId="1B3B4DA4"/>
    <w:p w14:paraId="07B070C9">
      <w:pPr>
        <w:pStyle w:val="16"/>
      </w:pPr>
      <w:r>
        <w:t>取数规则: VTE 多次评估取最大评分; 药物/机械预防存在勾选就算1</w:t>
      </w:r>
    </w:p>
    <w:p w14:paraId="735B591A">
      <w:pPr>
        <w:pStyle w:val="4"/>
      </w:pPr>
      <w:r>
        <w:t>4.2 查询接口实现</w:t>
      </w:r>
    </w:p>
    <w:p w14:paraId="7197C4F3">
      <w:r>
        <w:t>三个后端类, 共 4 个查询接口: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2880"/>
        <w:gridCol w:w="2880"/>
      </w:tblGrid>
      <w:tr w14:paraId="5AFECE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DB283A">
            <w:pPr>
              <w:spacing w:after="0" w:line="240" w:lineRule="auto"/>
            </w:pPr>
            <w:r>
              <w:rPr>
                <w:b/>
              </w:rPr>
              <w:t>类</w:t>
            </w:r>
          </w:p>
        </w:tc>
        <w:tc>
          <w:tcPr>
            <w:tcW w:w="2880" w:type="dxa"/>
          </w:tcPr>
          <w:p w14:paraId="67330116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5E391CD0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</w:tr>
      <w:tr w14:paraId="4D37D3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705C4">
            <w:pPr>
              <w:spacing w:after="0" w:line="240" w:lineRule="auto"/>
            </w:pPr>
            <w:r>
              <w:t>web.dhcvte.QryCommon</w:t>
            </w:r>
          </w:p>
        </w:tc>
        <w:tc>
          <w:tcPr>
            <w:tcW w:w="2880" w:type="dxa"/>
          </w:tcPr>
          <w:p w14:paraId="3D28041A">
            <w:pPr>
              <w:spacing w:after="0" w:line="240" w:lineRule="auto"/>
            </w:pPr>
            <w:r>
              <w:t>FindLocation</w:t>
            </w:r>
          </w:p>
        </w:tc>
        <w:tc>
          <w:tcPr>
            <w:tcW w:w="2880" w:type="dxa"/>
          </w:tcPr>
          <w:p w14:paraId="7F336801">
            <w:pPr>
              <w:spacing w:after="0" w:line="240" w:lineRule="auto"/>
            </w:pPr>
            <w:r>
              <w:t>科室下拉数据源</w:t>
            </w:r>
          </w:p>
        </w:tc>
      </w:tr>
      <w:tr w14:paraId="11EA20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E89CAC">
            <w:pPr>
              <w:spacing w:after="0" w:line="240" w:lineRule="auto"/>
            </w:pPr>
            <w:r>
              <w:t>web.dhcvte.QryIndicators</w:t>
            </w:r>
          </w:p>
        </w:tc>
        <w:tc>
          <w:tcPr>
            <w:tcW w:w="2880" w:type="dxa"/>
          </w:tcPr>
          <w:p w14:paraId="4645B430">
            <w:pPr>
              <w:spacing w:after="0" w:line="240" w:lineRule="auto"/>
            </w:pPr>
            <w:r>
              <w:t>QryAssessmentIndicators</w:t>
            </w:r>
          </w:p>
        </w:tc>
        <w:tc>
          <w:tcPr>
            <w:tcW w:w="2880" w:type="dxa"/>
          </w:tcPr>
          <w:p w14:paraId="09A3D556">
            <w:pPr>
              <w:spacing w:after="0" w:line="240" w:lineRule="auto"/>
            </w:pPr>
            <w:r>
              <w:t>评估质量4项指标</w:t>
            </w:r>
          </w:p>
        </w:tc>
      </w:tr>
      <w:tr w14:paraId="680DFD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6D0539">
            <w:pPr>
              <w:spacing w:after="0" w:line="240" w:lineRule="auto"/>
            </w:pPr>
            <w:r>
              <w:t>web.dhcvte.QryIndicators</w:t>
            </w:r>
          </w:p>
        </w:tc>
        <w:tc>
          <w:tcPr>
            <w:tcW w:w="2880" w:type="dxa"/>
          </w:tcPr>
          <w:p w14:paraId="3B8152B9">
            <w:pPr>
              <w:spacing w:after="0" w:line="240" w:lineRule="auto"/>
            </w:pPr>
            <w:r>
              <w:t>QryPreventionIndicators</w:t>
            </w:r>
          </w:p>
        </w:tc>
        <w:tc>
          <w:tcPr>
            <w:tcW w:w="2880" w:type="dxa"/>
          </w:tcPr>
          <w:p w14:paraId="7CD9A742">
            <w:pPr>
              <w:spacing w:after="0" w:line="240" w:lineRule="auto"/>
            </w:pPr>
            <w:r>
              <w:t>预防质量4项指标</w:t>
            </w:r>
          </w:p>
        </w:tc>
      </w:tr>
      <w:tr w14:paraId="0D6C43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EFA9B8">
            <w:pPr>
              <w:spacing w:after="0" w:line="240" w:lineRule="auto"/>
            </w:pPr>
            <w:r>
              <w:t>web.dhcvte.QryPatientList</w:t>
            </w:r>
          </w:p>
        </w:tc>
        <w:tc>
          <w:tcPr>
            <w:tcW w:w="2880" w:type="dxa"/>
          </w:tcPr>
          <w:p w14:paraId="40ED9B38">
            <w:pPr>
              <w:spacing w:after="0" w:line="240" w:lineRule="auto"/>
            </w:pPr>
            <w:r>
              <w:t>QryByIndicator</w:t>
            </w:r>
          </w:p>
        </w:tc>
        <w:tc>
          <w:tcPr>
            <w:tcW w:w="2880" w:type="dxa"/>
          </w:tcPr>
          <w:p w14:paraId="079F2944">
            <w:pPr>
              <w:spacing w:after="0" w:line="240" w:lineRule="auto"/>
            </w:pPr>
            <w:r>
              <w:t>按指标查询患者明细</w:t>
            </w:r>
          </w:p>
        </w:tc>
      </w:tr>
    </w:tbl>
    <w:p w14:paraId="6C621AD2"/>
    <w:p w14:paraId="3733A124">
      <w:r>
        <w:t>实现模式: Query -&gt; Execute(数据遍历+CacheTemp暂存) -&gt; Fetch(按行输出) -&gt; Close(清理)</w:t>
      </w:r>
    </w:p>
    <w:p w14:paraId="05BF96F5">
      <w:pPr>
        <w:pStyle w:val="4"/>
      </w:pPr>
      <w:r>
        <w:t>4.3 Global 索引优化</w:t>
      </w:r>
    </w:p>
    <w:p w14:paraId="160FDFAB">
      <w:r>
        <w:t>住院出院患者使用索引直接定位, 避免全表扫描:</w:t>
      </w:r>
    </w:p>
    <w:p w14:paraId="68D24ADD">
      <w:pPr>
        <w:pStyle w:val="16"/>
      </w:pPr>
      <w:r>
        <w:t>^PAADMi("DisDateT", Type, DischgDate, RowID) - 按就诊类型+出院日期定位</w:t>
      </w:r>
    </w:p>
    <w:p w14:paraId="130B2D7D">
      <w:pPr>
        <w:pStyle w:val="16"/>
      </w:pPr>
      <w:r>
        <w:t>^NurMp.DHCTempMultDataI("emdate", Date, EmrCode, RowID) - 按日期+模板定位</w:t>
      </w:r>
    </w:p>
    <w:p w14:paraId="7EBC157C">
      <w:pPr>
        <w:pStyle w:val="16"/>
      </w:pPr>
      <w:r>
        <w:t>^NurMp.TemplateI("Indentity", Code, TemplateID) - 模板代码-&gt;ID映射</w:t>
      </w:r>
    </w:p>
    <w:p w14:paraId="6E3BC46E">
      <w:r>
        <w:br w:type="page"/>
      </w:r>
    </w:p>
    <w:p w14:paraId="5C4227A5">
      <w:pPr>
        <w:pStyle w:val="3"/>
      </w:pPr>
      <w:r>
        <w:t>5. 关键技术难点</w:t>
      </w:r>
    </w:p>
    <w:p w14:paraId="228DD9FB">
      <w:pPr>
        <w:pStyle w:val="4"/>
      </w:pPr>
      <w:r>
        <w:t>5.1 IRIS 编译陷阱 (最重要)</w:t>
      </w:r>
    </w:p>
    <w:p w14:paraId="4B7BBCBB">
      <w:r>
        <w:t>IRIS ObjectScript 编译器对后置表达式有严格的语法要求, 违反即编译报错。这是开发中最容易踩的坑, 代码在 Studio 中看起来正确但编译时报 #1054/#1027 错误。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0AC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3E6BEB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2880" w:type="dxa"/>
          </w:tcPr>
          <w:p w14:paraId="33890909">
            <w:pPr>
              <w:spacing w:after="0" w:line="240" w:lineRule="auto"/>
            </w:pPr>
            <w:r>
              <w:rPr>
                <w:b/>
              </w:rPr>
              <w:t>错误写法(编译报错)</w:t>
            </w:r>
          </w:p>
        </w:tc>
        <w:tc>
          <w:tcPr>
            <w:tcW w:w="2880" w:type="dxa"/>
          </w:tcPr>
          <w:p w14:paraId="6BA6388E">
            <w:pPr>
              <w:spacing w:after="0" w:line="240" w:lineRule="auto"/>
            </w:pPr>
            <w:r>
              <w:rPr>
                <w:b/>
              </w:rPr>
              <w:t>正确写法</w:t>
            </w:r>
          </w:p>
        </w:tc>
      </w:tr>
      <w:tr w14:paraId="750E3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147649">
            <w:pPr>
              <w:spacing w:after="0" w:line="240" w:lineRule="auto"/>
            </w:pPr>
            <w:r>
              <w:t>后置运算符加括号</w:t>
            </w:r>
          </w:p>
        </w:tc>
        <w:tc>
          <w:tcPr>
            <w:tcW w:w="2880" w:type="dxa"/>
          </w:tcPr>
          <w:p w14:paraId="7A72714B">
            <w:pPr>
              <w:spacing w:after="0" w:line="240" w:lineRule="auto"/>
            </w:pPr>
            <w:r>
              <w:t>q:admId = ""</w:t>
            </w:r>
          </w:p>
        </w:tc>
        <w:tc>
          <w:tcPr>
            <w:tcW w:w="2880" w:type="dxa"/>
          </w:tcPr>
          <w:p w14:paraId="414151F2">
            <w:pPr>
              <w:spacing w:after="0" w:line="240" w:lineRule="auto"/>
            </w:pPr>
            <w:r>
              <w:t>q:(admId = "")</w:t>
            </w:r>
          </w:p>
        </w:tc>
      </w:tr>
      <w:tr w14:paraId="0EB4B6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FD7915">
            <w:pPr>
              <w:spacing w:after="0" w:line="240" w:lineRule="auto"/>
            </w:pPr>
            <w:r>
              <w:t>s: 后置加括号</w:t>
            </w:r>
          </w:p>
        </w:tc>
        <w:tc>
          <w:tcPr>
            <w:tcW w:w="2880" w:type="dxa"/>
          </w:tcPr>
          <w:p w14:paraId="31A43793">
            <w:pPr>
              <w:spacing w:after="0" w:line="240" w:lineRule="auto"/>
            </w:pPr>
            <w:r>
              <w:t>s:$e(n,1) = "-" n = ...</w:t>
            </w:r>
          </w:p>
        </w:tc>
        <w:tc>
          <w:tcPr>
            <w:tcW w:w="2880" w:type="dxa"/>
          </w:tcPr>
          <w:p w14:paraId="615ECE2E">
            <w:pPr>
              <w:spacing w:after="0" w:line="240" w:lineRule="auto"/>
            </w:pPr>
            <w:r>
              <w:t>if $e(n,1) = "-" { s n = ... }</w:t>
            </w:r>
          </w:p>
        </w:tc>
      </w:tr>
      <w:tr w14:paraId="06C5DE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F9BAD3">
            <w:pPr>
              <w:spacing w:after="0" w:line="240" w:lineRule="auto"/>
            </w:pPr>
            <w:r>
              <w:t>|| 替代 !</w:t>
            </w:r>
          </w:p>
        </w:tc>
        <w:tc>
          <w:tcPr>
            <w:tcW w:w="2880" w:type="dxa"/>
          </w:tcPr>
          <w:p w14:paraId="443AC5D2">
            <w:pPr>
              <w:spacing w:after="0" w:line="240" w:lineRule="auto"/>
            </w:pPr>
            <w:r>
              <w:t>q:a=""!(b&lt;c)</w:t>
            </w:r>
          </w:p>
        </w:tc>
        <w:tc>
          <w:tcPr>
            <w:tcW w:w="2880" w:type="dxa"/>
          </w:tcPr>
          <w:p w14:paraId="1F52A989">
            <w:pPr>
              <w:spacing w:after="0" w:line="240" w:lineRule="auto"/>
            </w:pPr>
            <w:r>
              <w:t>q:(a="")||(b&lt;c)</w:t>
            </w:r>
          </w:p>
        </w:tc>
      </w:tr>
      <w:tr w14:paraId="6B2573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E9405E">
            <w:pPr>
              <w:spacing w:after="0" w:line="240" w:lineRule="auto"/>
            </w:pPr>
            <w:r>
              <w:t>块级全拼</w:t>
            </w:r>
          </w:p>
        </w:tc>
        <w:tc>
          <w:tcPr>
            <w:tcW w:w="2880" w:type="dxa"/>
          </w:tcPr>
          <w:p w14:paraId="17D87A56">
            <w:pPr>
              <w:spacing w:after="0" w:line="240" w:lineRule="auto"/>
            </w:pPr>
            <w:r>
              <w:t>i x { / f {</w:t>
            </w:r>
          </w:p>
        </w:tc>
        <w:tc>
          <w:tcPr>
            <w:tcW w:w="2880" w:type="dxa"/>
          </w:tcPr>
          <w:p w14:paraId="27251E65">
            <w:pPr>
              <w:spacing w:after="0" w:line="240" w:lineRule="auto"/>
            </w:pPr>
            <w:r>
              <w:t>if x { / for {</w:t>
            </w:r>
          </w:p>
        </w:tc>
      </w:tr>
      <w:tr w14:paraId="308EB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64F35">
            <w:pPr>
              <w:spacing w:after="0" w:line="240" w:lineRule="auto"/>
            </w:pPr>
            <w:r>
              <w:t>注释用 #;</w:t>
            </w:r>
          </w:p>
        </w:tc>
        <w:tc>
          <w:tcPr>
            <w:tcW w:w="2880" w:type="dxa"/>
          </w:tcPr>
          <w:p w14:paraId="34FFF841">
            <w:pPr>
              <w:spacing w:after="0" w:line="240" w:lineRule="auto"/>
            </w:pPr>
            <w:r>
              <w:t>; 注释</w:t>
            </w:r>
          </w:p>
        </w:tc>
        <w:tc>
          <w:tcPr>
            <w:tcW w:w="2880" w:type="dxa"/>
          </w:tcPr>
          <w:p w14:paraId="1CF4E540">
            <w:pPr>
              <w:spacing w:after="0" w:line="240" w:lineRule="auto"/>
            </w:pPr>
            <w:r>
              <w:t>#; 注释(块) / // 注释(句尾)</w:t>
            </w:r>
          </w:p>
        </w:tc>
      </w:tr>
    </w:tbl>
    <w:p w14:paraId="6D576FE6"/>
    <w:p w14:paraId="6A58A3AB">
      <w:pPr>
        <w:pStyle w:val="4"/>
      </w:pPr>
      <w:r>
        <w:t>5.2 IE11 JavaScript 兼容性</w:t>
      </w:r>
    </w:p>
    <w:p w14:paraId="481256E5">
      <w:r>
        <w:t>HIS 系统客户端为 IE11 内核浏览器, 禁止使用 ES6+ API: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A8D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7F438A">
            <w:pPr>
              <w:spacing w:after="0" w:line="240" w:lineRule="auto"/>
            </w:pPr>
            <w:r>
              <w:rPr>
                <w:b/>
              </w:rPr>
              <w:t>禁用 API</w:t>
            </w:r>
          </w:p>
        </w:tc>
        <w:tc>
          <w:tcPr>
            <w:tcW w:w="4320" w:type="dxa"/>
          </w:tcPr>
          <w:p w14:paraId="38B213DB">
            <w:pPr>
              <w:spacing w:after="0" w:line="240" w:lineRule="auto"/>
            </w:pPr>
            <w:r>
              <w:rPr>
                <w:b/>
              </w:rPr>
              <w:t>兼容替代方案</w:t>
            </w:r>
          </w:p>
        </w:tc>
      </w:tr>
      <w:tr w14:paraId="3162BD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8D6EFB">
            <w:pPr>
              <w:spacing w:after="0" w:line="240" w:lineRule="auto"/>
            </w:pPr>
            <w:r>
              <w:t>str.padStart(n, c)</w:t>
            </w:r>
          </w:p>
        </w:tc>
        <w:tc>
          <w:tcPr>
            <w:tcW w:w="4320" w:type="dxa"/>
          </w:tcPr>
          <w:p w14:paraId="70EE90D9">
            <w:pPr>
              <w:spacing w:after="0" w:line="240" w:lineRule="auto"/>
            </w:pPr>
            <w:r>
              <w:t>("0"+n).slice(-2) 补零方案</w:t>
            </w:r>
          </w:p>
        </w:tc>
      </w:tr>
      <w:tr w14:paraId="5E1AD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A97A1">
            <w:pPr>
              <w:spacing w:after="0" w:line="240" w:lineRule="auto"/>
            </w:pPr>
            <w:r>
              <w:t>str.startsWith / str.includes</w:t>
            </w:r>
          </w:p>
        </w:tc>
        <w:tc>
          <w:tcPr>
            <w:tcW w:w="4320" w:type="dxa"/>
          </w:tcPr>
          <w:p w14:paraId="7A9D329F">
            <w:pPr>
              <w:spacing w:after="0" w:line="240" w:lineRule="auto"/>
            </w:pPr>
            <w:r>
              <w:t>str.indexOf(x) !== -1</w:t>
            </w:r>
          </w:p>
        </w:tc>
      </w:tr>
      <w:tr w14:paraId="27C4D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4784F5">
            <w:pPr>
              <w:spacing w:after="0" w:line="240" w:lineRule="auto"/>
            </w:pPr>
            <w:r>
              <w:t>() =&gt; {} 箭头函数</w:t>
            </w:r>
          </w:p>
        </w:tc>
        <w:tc>
          <w:tcPr>
            <w:tcW w:w="4320" w:type="dxa"/>
          </w:tcPr>
          <w:p w14:paraId="4E0C64A1">
            <w:pPr>
              <w:spacing w:after="0" w:line="240" w:lineRule="auto"/>
            </w:pPr>
            <w:r>
              <w:t>function() {} 传统函数</w:t>
            </w:r>
          </w:p>
        </w:tc>
      </w:tr>
      <w:tr w14:paraId="601FB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6CD08E">
            <w:pPr>
              <w:spacing w:after="0" w:line="240" w:lineRule="auto"/>
            </w:pPr>
            <w:r>
              <w:t>let / const</w:t>
            </w:r>
          </w:p>
        </w:tc>
        <w:tc>
          <w:tcPr>
            <w:tcW w:w="4320" w:type="dxa"/>
          </w:tcPr>
          <w:p w14:paraId="06C67BD3">
            <w:pPr>
              <w:spacing w:after="0" w:line="240" w:lineRule="auto"/>
            </w:pPr>
            <w:r>
              <w:t>var</w:t>
            </w:r>
          </w:p>
        </w:tc>
      </w:tr>
    </w:tbl>
    <w:p w14:paraId="7C172E36"/>
    <w:p w14:paraId="051A4E71">
      <w:pPr>
        <w:pStyle w:val="4"/>
      </w:pPr>
      <w:r>
        <w:t>5.3 数据一致性保证</w:t>
      </w:r>
    </w:p>
    <w:p w14:paraId="4336745F">
      <w:r>
        <w:t>指标汇总和患者明细由两个独立的 Query 实现, 需确保相同条件下数据完全一致。本项目遇到的两个典型问题:</w:t>
      </w:r>
    </w:p>
    <w:p w14:paraId="54456362">
      <w:pPr>
        <w:pStyle w:val="16"/>
      </w:pPr>
      <w:r>
        <w:t>问题1: age 变量未在每轮循环初始化(s age = ""), 当 patDOB 为空时沿用上一患者的值 -&gt; 解决: 每轮循环显式初始化 age = ""</w:t>
      </w:r>
    </w:p>
    <w:p w14:paraId="48EFD70F">
      <w:pPr>
        <w:pStyle w:val="16"/>
      </w:pPr>
      <w:r>
        <w:t>问题2: A01 判断在两个方法中用了不同数据节点 (score vs risk) -&gt; 解决: 统一使用 ^||tempVTEAssess($j, admId) score 节点判断</w:t>
      </w:r>
    </w:p>
    <w:p w14:paraId="68BB783A">
      <w:pPr>
        <w:pStyle w:val="4"/>
      </w:pPr>
      <w:r>
        <w:t>5.4 临时 Global 命名规范</w:t>
      </w:r>
    </w:p>
    <w:p w14:paraId="4643B2BF">
      <w:r>
        <w:t>项目采用 ^||temp{自定义名}($j, ...) 格式:</w:t>
      </w:r>
    </w:p>
    <w:p w14:paraId="3B697D73">
      <w:pPr>
        <w:pStyle w:val="16"/>
      </w:pPr>
      <w:r>
        <w:t>^|| 进程私有, 不持久化</w:t>
      </w:r>
    </w:p>
    <w:p w14:paraId="163B71C9">
      <w:pPr>
        <w:pStyle w:val="16"/>
      </w:pPr>
      <w:r>
        <w:t>temp 前缀标识临时数据</w:t>
      </w:r>
    </w:p>
    <w:p w14:paraId="059424F7">
      <w:pPr>
        <w:pStyle w:val="16"/>
      </w:pPr>
      <w:r>
        <w:t>$j 当前进程号, 防止并发冲突</w:t>
      </w:r>
    </w:p>
    <w:p w14:paraId="2CF5E35D">
      <w:pPr>
        <w:pStyle w:val="16"/>
      </w:pPr>
      <w:r>
        <w:t>方法结束前用 k ^||tempXXX($j) 清理</w:t>
      </w:r>
    </w:p>
    <w:p w14:paraId="4C787D1B">
      <w:r>
        <w:br w:type="page"/>
      </w:r>
    </w:p>
    <w:p w14:paraId="7B33CDE5">
      <w:pPr>
        <w:pStyle w:val="3"/>
      </w:pPr>
      <w:r>
        <w:t>6. 界面效果展示</w:t>
      </w:r>
    </w:p>
    <w:p w14:paraId="0E83D155">
      <w:r>
        <w:drawing>
          <wp:inline distT="0" distB="0" distL="114300" distR="114300">
            <wp:extent cx="5478145" cy="2966085"/>
            <wp:effectExtent l="0" t="0" r="825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CCE5">
      <w:r>
        <w:br w:type="page"/>
      </w:r>
    </w:p>
    <w:p w14:paraId="1DD26350">
      <w:pPr>
        <w:pStyle w:val="3"/>
      </w:pPr>
      <w:r>
        <w:t>7. 经验总结与文件清单</w:t>
      </w:r>
    </w:p>
    <w:p w14:paraId="5EF9469E">
      <w:pPr>
        <w:pStyle w:val="4"/>
      </w:pPr>
      <w:r>
        <w:t>开发流程建议</w:t>
      </w:r>
    </w:p>
    <w:p w14:paraId="3078A229">
      <w:pPr>
        <w:pStyle w:val="14"/>
      </w:pPr>
      <w:r>
        <w:t>先搞清楚实际数据存储结构 (Global + 索引), 再写查询代码</w:t>
      </w:r>
    </w:p>
    <w:p w14:paraId="776D3E68">
      <w:pPr>
        <w:pStyle w:val="14"/>
      </w:pPr>
      <w:r>
        <w:t>参考现有同类页面的代码模式 (frmQryVstNumPositiveReport.aspx 等)</w:t>
      </w:r>
    </w:p>
    <w:p w14:paraId="42FB0F1F">
      <w:pPr>
        <w:pStyle w:val="14"/>
      </w:pPr>
      <w:r>
        <w:t>CLS 代码生成后立即在 IRIS Terminal 中用 RunQuery 测试返回数据</w:t>
      </w:r>
    </w:p>
    <w:p w14:paraId="1D1043EC">
      <w:pPr>
        <w:pStyle w:val="14"/>
      </w:pPr>
      <w:r>
        <w:t>前后端接口用 JSON 格式约定字段名/类型/示例值, 写入 CSP 注释块</w:t>
      </w:r>
    </w:p>
    <w:p w14:paraId="78658CE1">
      <w:pPr>
        <w:pStyle w:val="14"/>
      </w:pPr>
      <w:r>
        <w:t>指标汇总和明细查询要统一过滤逻辑, 建议抽取共用方法或者共用临时 Global 数据</w:t>
      </w:r>
    </w:p>
    <w:p w14:paraId="44246826">
      <w:pPr>
        <w:pStyle w:val="4"/>
      </w:pPr>
      <w:r>
        <w:t>文件清单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66D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0EA580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4320" w:type="dxa"/>
          </w:tcPr>
          <w:p w14:paraId="2830A03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9226D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CE6050">
            <w:pPr>
              <w:spacing w:after="0" w:line="240" w:lineRule="auto"/>
            </w:pPr>
            <w:r>
              <w:t>vtequalityindicators.csp</w:t>
            </w:r>
          </w:p>
        </w:tc>
        <w:tc>
          <w:tcPr>
            <w:tcW w:w="4320" w:type="dxa"/>
          </w:tcPr>
          <w:p w14:paraId="0BA7864C">
            <w:pPr>
              <w:spacing w:after="0" w:line="240" w:lineRule="auto"/>
            </w:pPr>
            <w:r>
              <w:t>CSP 前端页面 (IRIS 部署版)</w:t>
            </w:r>
          </w:p>
        </w:tc>
      </w:tr>
      <w:tr w14:paraId="5741AF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174CD4">
            <w:pPr>
              <w:spacing w:after="0" w:line="240" w:lineRule="auto"/>
            </w:pPr>
            <w:r>
              <w:t>vtequalityindicators.html</w:t>
            </w:r>
          </w:p>
        </w:tc>
        <w:tc>
          <w:tcPr>
            <w:tcW w:w="4320" w:type="dxa"/>
          </w:tcPr>
          <w:p w14:paraId="7FFC7E92">
            <w:pPr>
              <w:spacing w:after="0" w:line="240" w:lineRule="auto"/>
            </w:pPr>
            <w:r>
              <w:t>HTML 独立预览版 (CDN + Mock 数据)</w:t>
            </w:r>
          </w:p>
        </w:tc>
      </w:tr>
      <w:tr w14:paraId="6FF177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AB7E09">
            <w:pPr>
              <w:spacing w:after="0" w:line="240" w:lineRule="auto"/>
            </w:pPr>
            <w:r>
              <w:t>src/web/dhcvte/QryCommon.cls</w:t>
            </w:r>
          </w:p>
        </w:tc>
        <w:tc>
          <w:tcPr>
            <w:tcW w:w="4320" w:type="dxa"/>
          </w:tcPr>
          <w:p w14:paraId="069544CE">
            <w:pPr>
              <w:spacing w:after="0" w:line="240" w:lineRule="auto"/>
            </w:pPr>
            <w:r>
              <w:t>科室下拉查询</w:t>
            </w:r>
          </w:p>
        </w:tc>
      </w:tr>
      <w:tr w14:paraId="796668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2D19BC">
            <w:pPr>
              <w:spacing w:after="0" w:line="240" w:lineRule="auto"/>
            </w:pPr>
            <w:r>
              <w:t>src/web/dhcvte/QryIndicators.cls</w:t>
            </w:r>
          </w:p>
        </w:tc>
        <w:tc>
          <w:tcPr>
            <w:tcW w:w="4320" w:type="dxa"/>
          </w:tcPr>
          <w:p w14:paraId="7C133CAC">
            <w:pPr>
              <w:spacing w:after="0" w:line="240" w:lineRule="auto"/>
            </w:pPr>
            <w:r>
              <w:t>8 项指标查询 (评估+预防)</w:t>
            </w:r>
          </w:p>
        </w:tc>
      </w:tr>
      <w:tr w14:paraId="038F08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97DB41">
            <w:pPr>
              <w:spacing w:after="0" w:line="240" w:lineRule="auto"/>
            </w:pPr>
            <w:r>
              <w:t>src/web/dhcvte/QryPatientList.cls</w:t>
            </w:r>
          </w:p>
        </w:tc>
        <w:tc>
          <w:tcPr>
            <w:tcW w:w="4320" w:type="dxa"/>
          </w:tcPr>
          <w:p w14:paraId="125962BE">
            <w:pPr>
              <w:spacing w:after="0" w:line="240" w:lineRule="auto"/>
            </w:pPr>
            <w:r>
              <w:t>患者明细查询 (按指标过滤)</w:t>
            </w:r>
          </w:p>
        </w:tc>
      </w:tr>
    </w:tbl>
    <w:p w14:paraId="1ED3DD10"/>
    <w:p w14:paraId="4897BC14">
      <w:pPr>
        <w:pStyle w:val="4"/>
      </w:pPr>
      <w:r>
        <w:t>关键技术点速查</w:t>
      </w:r>
    </w:p>
    <w:p w14:paraId="77731F6A">
      <w:pPr>
        <w:pStyle w:val="16"/>
      </w:pPr>
      <w:r>
        <w:t>前端: HISUI Layout/Datagrid/Accordion/Datebox, CSV BOM 导出, IE11 polyfill</w:t>
      </w:r>
    </w:p>
    <w:p w14:paraId="2878F9FA">
      <w:pPr>
        <w:pStyle w:val="16"/>
      </w:pPr>
      <w:r>
        <w:t>后端: ObjectScript Query/Fetch/Close, CacheTemp, $ZOBJPROPERTY</w:t>
      </w:r>
    </w:p>
    <w:p w14:paraId="6D6FA05E">
      <w:pPr>
        <w:pStyle w:val="16"/>
      </w:pPr>
      <w:r>
        <w:t>数据: ^PAADMi 索引遍历, NurMp.DHCTempMultData 护理病历, ^PAADM/^PAPER/^CTLOC 主数据</w:t>
      </w:r>
    </w:p>
    <w:p w14:paraId="06280B62">
      <w:pPr>
        <w:pStyle w:val="16"/>
      </w:pPr>
      <w:r>
        <w:t>编码: CSP &lt;csp:content charset="utf-8"&gt;, #; 注释, postfix 括号, for{} 块级全拼</w:t>
      </w:r>
    </w:p>
    <w:p w14:paraId="3105A39F"/>
    <w:p w14:paraId="6E3E0660"/>
    <w:p w14:paraId="57CAB53B">
      <w:pPr>
        <w:jc w:val="center"/>
      </w:pPr>
      <w:r>
        <w:rPr>
          <w:color w:val="999999"/>
          <w:sz w:val="28"/>
        </w:rPr>
        <w:t>--- END 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659C6"/>
    <w:rsid w:val="4A433A00"/>
    <w:rsid w:val="5B1D548D"/>
    <w:rsid w:val="6BE1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548</Words>
  <Characters>799</Characters>
  <Lines>0</Lines>
  <Paragraphs>0</Paragraphs>
  <TotalTime>0</TotalTime>
  <ScaleCrop>false</ScaleCrop>
  <LinksUpToDate>false</LinksUpToDate>
  <CharactersWithSpaces>919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尘华</cp:lastModifiedBy>
  <dcterms:modified xsi:type="dcterms:W3CDTF">2026-06-12T05:24:11Z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eyJoZGlkIjoiNTUyMDgyYmMyYzU5MWQ0Y2I0NmVjNTlhODIwM2M3ZmQiLCJ1c2VySWQiOiIxMDA5NzAzMzg0In0=</vt:lpwstr>
  </property>
  <property fmtid="{D5CDD505-2E9C-101B-9397-08002B2CF9AE}" pid="3" name="KSOProductBuildVer">
    <vt:lpwstr>2052-12.1.0.26895</vt:lpwstr>
  </property>
  <property fmtid="{D5CDD505-2E9C-101B-9397-08002B2CF9AE}" pid="4" name="ICV">
    <vt:lpwstr>9278A92BDF074571BEF855A3A930D596_12</vt:lpwstr>
  </property>
</Properties>
</file>