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6C6B35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VTE质控指标汇总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5D442C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84A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注：以下指标适用人群为年龄≥13 岁的住院患者，排除年龄 &lt; 13 岁的儿科患者、住院时间≤24h 的患者，以及已在接受抗凝治疗的患者（如已确诊 VTE、房颤、急性心肌梗死、缺血性脑卒中、CRRT/ECMO/ 血液透析治疗、机械瓣膜植入等人群）。</w:t>
            </w:r>
          </w:p>
        </w:tc>
      </w:tr>
    </w:tbl>
    <w:p w14:paraId="2403708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54AD87B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一、评估质量指标：风险识别的基础环节</w:t>
      </w:r>
      <w:bookmarkEnd w:id="0"/>
    </w:p>
    <w:p w14:paraId="475883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评估是 VTE 防治的起点，通过动态评估识别血栓和出血风险，为后续干预提供依据，核心包含 4 项指标：</w:t>
      </w:r>
    </w:p>
    <w:p w14:paraId="27BD2581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 VTE 风险评估率</w:t>
      </w:r>
      <w:bookmarkEnd w:id="1"/>
    </w:p>
    <w:p w14:paraId="05C79EFB">
      <w:pPr>
        <w:numPr>
          <w:ilvl w:val="0"/>
          <w:numId w:val="0"/>
        </w:numPr>
        <w:spacing w:before="120" w:after="120" w:line="288" w:lineRule="auto"/>
        <w:ind w:left="0" w:leftChars="0" w:firstLine="440" w:firstLineChars="200"/>
        <w:jc w:val="left"/>
      </w:pPr>
      <w:r>
        <w:rPr>
          <w:rFonts w:ascii="Arial" w:hAnsi="Arial" w:eastAsia="等线" w:cs="Arial"/>
          <w:b/>
          <w:sz w:val="22"/>
        </w:rPr>
        <w:t>定义</w:t>
      </w:r>
      <w:r>
        <w:rPr>
          <w:rFonts w:ascii="Arial" w:hAnsi="Arial" w:eastAsia="等线" w:cs="Arial"/>
          <w:sz w:val="22"/>
        </w:rPr>
        <w:t>：住院期间关键动态时点接受 VTE 风险评估的出院患者总数，与同期出院患者总数的比值。</w:t>
      </w:r>
    </w:p>
    <w:p w14:paraId="6C290E7E">
      <w:pPr>
        <w:numPr>
          <w:ilvl w:val="0"/>
          <w:numId w:val="0"/>
        </w:numPr>
        <w:spacing w:before="120" w:after="120" w:line="288" w:lineRule="auto"/>
        <w:ind w:left="0" w:leftChars="0" w:firstLine="440" w:firstLineChars="200"/>
        <w:jc w:val="left"/>
        <w:rPr>
          <w:rFonts w:hAnsi="Cambria Math"/>
          <w:i w:val="0"/>
        </w:rPr>
      </w:pPr>
      <w:r>
        <w:rPr>
          <w:rFonts w:ascii="Arial" w:hAnsi="Arial" w:eastAsia="等线" w:cs="Arial"/>
          <w:b/>
          <w:sz w:val="22"/>
        </w:rPr>
        <w:t>计算公式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>
              <m:nor/>
              <m:sty m:val="p"/>
            </m:rPr>
            <w:rPr>
              <w:rFonts w:ascii="Cambria Math" w:hAnsi="Cambria Math"/>
              <w:b w:val="0"/>
              <w:i w:val="0"/>
            </w:rPr>
            <m:t>VTE风险评估率</m:t>
          </m:r>
          <m:r>
            <m:rPr/>
            <w:rPr>
              <w:rFonts w:ascii="Cambria Math" w:hAnsi="Cambria Math"/>
            </w:rPr>
            <m:t>=</m:t>
          </m:r>
          <m:f>
            <m:fPr/>
            <m:num>
              <m:r>
                <m:rPr>
                  <m:nor/>
                  <m:sty m:val="p"/>
                </m:rPr>
                <w:rPr>
                  <w:rFonts w:ascii="Cambria Math" w:hAnsi="Cambria Math"/>
                  <w:b w:val="0"/>
                  <w:i w:val="0"/>
                </w:rPr>
                <m:t>不同动态时点接受VTE风险评估的出院患者总例数</m:t>
              </m:r>
            </m:num>
            <m:den>
              <m:r>
                <m:rPr>
                  <m:nor/>
                  <m:sty m:val="p"/>
                </m:rPr>
                <w:rPr>
                  <w:rFonts w:ascii="Cambria Math" w:hAnsi="Cambria Math"/>
                  <w:b w:val="0"/>
                  <w:i w:val="0"/>
                </w:rPr>
                <m:t>同期出院患者总例数</m:t>
              </m:r>
            </m:den>
          </m:f>
          <m:r>
            <m:rPr/>
            <w:rPr>
              <w:rFonts w:ascii="Cambria Math" w:hAnsi="Cambria Math"/>
            </w:rPr>
            <m:t>×100</m:t>
          </m:r>
        </m:oMath>
      </m:oMathPara>
    </w:p>
    <w:p w14:paraId="2728F3D7">
      <w:pPr>
        <w:numPr>
          <w:ilvl w:val="0"/>
          <w:numId w:val="0"/>
        </w:numPr>
        <w:spacing w:before="120" w:after="120" w:line="288" w:lineRule="auto"/>
        <w:ind w:left="0" w:leftChars="0" w:firstLine="420" w:firstLineChars="200"/>
        <w:jc w:val="left"/>
        <w:rPr>
          <w:rFonts w:hint="default" w:hAnsi="Cambria Math" w:eastAsiaTheme="minorEastAsia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备注：分子：caprini、padua深静脉血栓风险评估表评估时机（病历增加元素）不为空的就算1</w:t>
      </w:r>
    </w:p>
    <w:p w14:paraId="5C008B26">
      <w:pPr>
        <w:numPr>
          <w:ilvl w:val="0"/>
          <w:numId w:val="0"/>
        </w:numPr>
        <w:spacing w:before="120" w:after="120" w:line="288" w:lineRule="auto"/>
        <w:ind w:left="0" w:leftChars="0" w:firstLine="420" w:firstLineChars="200"/>
        <w:jc w:val="left"/>
        <w:rPr>
          <w:rFonts w:hAnsi="Cambria Math"/>
          <w:i w:val="0"/>
        </w:rPr>
      </w:pPr>
    </w:p>
    <w:p w14:paraId="27741DBA">
      <w:pPr>
        <w:numPr>
          <w:ilvl w:val="0"/>
          <w:numId w:val="0"/>
        </w:numPr>
        <w:spacing w:before="120" w:after="120" w:line="288" w:lineRule="auto"/>
        <w:ind w:left="0" w:leftChars="0" w:firstLine="420" w:firstLineChars="200"/>
        <w:jc w:val="left"/>
        <w:rPr>
          <w:rFonts w:hAnsi="Cambria Math" w:eastAsiaTheme="minorEastAsia" w:cstheme="minorBidi"/>
          <w:b w:val="0"/>
          <w:i w:val="0"/>
        </w:rPr>
      </w:pPr>
      <m:oMathPara>
        <m:oMathParaPr>
          <m:jc m:val="left"/>
        </m:oMathParaPr>
        <m:oMath>
          <m:r>
            <m:rPr>
              <m:nor/>
              <m:sty m:val="p"/>
            </m:rPr>
            <w:rPr>
              <w:rFonts w:hint="default" w:ascii="Cambria Math" w:hAnsi="Cambria Math" w:eastAsiaTheme="minorEastAsia" w:cstheme="minorBidi"/>
              <w:b w:val="0"/>
              <w:i w:val="0"/>
              <w:lang w:val="en-US" w:eastAsia="zh-CN"/>
            </w:rPr>
            <m:t>24小时内</m:t>
          </m:r>
          <m:r>
            <m:rPr>
              <m:nor/>
              <m:sty m:val="p"/>
            </m:rPr>
            <w:rPr>
              <w:rFonts w:ascii="Cambria Math" w:hAnsi="Cambria Math" w:eastAsiaTheme="minorEastAsia" w:cstheme="minorBidi"/>
              <w:b w:val="0"/>
              <w:i w:val="0"/>
            </w:rPr>
            <m:t>VTE</m:t>
          </m:r>
          <m:r>
            <m:rPr>
              <m:nor/>
              <m:sty m:val="p"/>
            </m:rPr>
            <w:rPr>
              <w:rFonts w:hint="default" w:ascii="Cambria Math" w:hAnsi="Cambria Math" w:eastAsiaTheme="minorEastAsia" w:cstheme="minorBidi"/>
              <w:b w:val="0"/>
              <w:i w:val="0"/>
              <w:lang w:eastAsia="zh-CN"/>
            </w:rPr>
            <m:t>初始</m:t>
          </m:r>
          <m:r>
            <m:rPr>
              <m:nor/>
              <m:sty m:val="p"/>
            </m:rPr>
            <w:rPr>
              <w:rFonts w:ascii="Cambria Math" w:hAnsi="Cambria Math" w:eastAsiaTheme="minorEastAsia" w:cstheme="minorBidi"/>
              <w:b w:val="0"/>
              <w:i w:val="0"/>
            </w:rPr>
            <m:t>评估率</m:t>
          </m:r>
          <m:r>
            <m:rPr>
              <m:sty m:val="p"/>
            </m:rPr>
            <w:rPr>
              <w:rFonts w:ascii="Cambria Math" w:hAnsi="Cambria Math" w:eastAsiaTheme="minorEastAsia" w:cstheme="minorBidi"/>
            </w:rPr>
            <m:t>=</m:t>
          </m:r>
          <m:f>
            <m:fPr>
              <m:ctrlPr>
                <w:rPr>
                  <w:rFonts w:ascii="Cambria Math" w:hAnsi="Cambria Math" w:eastAsiaTheme="minorEastAsia" w:cstheme="minorBidi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Theme="minorEastAsia" w:cstheme="minorBidi"/>
                  <w:lang w:eastAsia="zh-CN"/>
                </w:rPr>
                <m:t>入院</m:t>
              </m:r>
              <m:r>
                <m:rPr>
                  <m:sty m:val="p"/>
                </m:rPr>
                <w:rPr>
                  <w:rFonts w:hint="default" w:ascii="Cambria Math" w:hAnsi="Cambria Math" w:eastAsiaTheme="minorEastAsia" w:cstheme="minorBidi"/>
                  <w:lang w:val="en-US" w:eastAsia="zh-CN"/>
                </w:rPr>
                <m:t>24小时内完成VTE风险评估的患者人数</m:t>
              </m:r>
              <m:ctrlPr>
                <w:rPr>
                  <w:rFonts w:ascii="Cambria Math" w:hAnsi="Cambria Math" w:eastAsiaTheme="minorEastAsia" w:cstheme="minorBidi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ascii="Cambria Math" w:hAnsi="Cambria Math" w:eastAsiaTheme="minorEastAsia" w:cstheme="minorBidi"/>
                  <w:b w:val="0"/>
                  <w:i w:val="0"/>
                </w:rPr>
                <m:t>同期出院患者总例数</m:t>
              </m:r>
              <m:ctrlPr>
                <w:rPr>
                  <w:rFonts w:ascii="Cambria Math" w:hAnsi="Cambria Math" w:eastAsiaTheme="minorEastAsia" w:cstheme="minorBidi"/>
                </w:rPr>
              </m:ctrlPr>
            </m:den>
          </m:f>
          <m:r>
            <m:rPr>
              <m:sty m:val="p"/>
            </m:rPr>
            <w:rPr>
              <w:rFonts w:ascii="Cambria Math" w:hAnsi="Cambria Math" w:eastAsiaTheme="minorEastAsia" w:cstheme="minorBidi"/>
            </w:rPr>
            <m:t>×100</m:t>
          </m:r>
        </m:oMath>
      </m:oMathPara>
    </w:p>
    <w:p w14:paraId="119B2EE0">
      <w:pPr>
        <w:numPr>
          <w:ilvl w:val="0"/>
          <w:numId w:val="0"/>
        </w:numPr>
        <w:spacing w:before="120" w:after="120" w:line="288" w:lineRule="auto"/>
        <w:ind w:left="0" w:leftChars="0" w:firstLine="420" w:firstLineChars="200"/>
        <w:jc w:val="left"/>
        <w:rPr>
          <w:rFonts w:hint="default" w:hAnsi="Cambria Math" w:eastAsiaTheme="minorEastAsia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备注：分子：caprini、padua深静脉血栓风险评估表入院24小时内填了的就算1</w:t>
      </w:r>
    </w:p>
    <w:p w14:paraId="7A7D1464">
      <w:pPr>
        <w:numPr>
          <w:ilvl w:val="0"/>
          <w:numId w:val="0"/>
        </w:numPr>
        <w:spacing w:before="120" w:after="120" w:line="288" w:lineRule="auto"/>
        <w:ind w:left="0" w:leftChars="0" w:firstLine="420" w:firstLineChars="200"/>
        <w:jc w:val="left"/>
        <w:rPr>
          <w:rFonts w:hAnsi="Cambria Math" w:eastAsiaTheme="minorEastAsia" w:cstheme="minorBidi"/>
          <w:b w:val="0"/>
          <w:i w:val="0"/>
        </w:rPr>
      </w:pPr>
    </w:p>
    <w:p w14:paraId="7D82AAF9">
      <w:pPr>
        <w:numPr>
          <w:ilvl w:val="0"/>
          <w:numId w:val="0"/>
        </w:numPr>
        <w:spacing w:before="120" w:after="120" w:line="288" w:lineRule="auto"/>
        <w:ind w:left="0" w:leftChars="0" w:firstLine="420" w:firstLineChars="200"/>
        <w:jc w:val="left"/>
        <w:rPr>
          <w:rFonts w:hAnsi="Cambria Math" w:eastAsiaTheme="minorEastAsia" w:cstheme="minorBidi"/>
          <w:b w:val="0"/>
          <w:i w:val="0"/>
        </w:rPr>
      </w:pPr>
    </w:p>
    <w:p w14:paraId="04257FE3">
      <w:pPr>
        <w:numPr>
          <w:ilvl w:val="0"/>
          <w:numId w:val="0"/>
        </w:numPr>
        <w:spacing w:before="120" w:after="120" w:line="288" w:lineRule="auto"/>
        <w:ind w:left="0" w:leftChars="0" w:firstLine="440" w:firstLineChars="200"/>
        <w:jc w:val="left"/>
      </w:pPr>
      <w:r>
        <w:rPr>
          <w:rFonts w:ascii="Arial" w:hAnsi="Arial" w:eastAsia="等线" w:cs="Arial"/>
          <w:b/>
          <w:sz w:val="22"/>
        </w:rPr>
        <w:t>意义</w:t>
      </w:r>
      <w:r>
        <w:rPr>
          <w:rFonts w:ascii="Arial" w:hAnsi="Arial" w:eastAsia="等线" w:cs="Arial"/>
          <w:sz w:val="22"/>
        </w:rPr>
        <w:t>：准确识别 VTE 风险是合理预防的前提，可有效降低住院患者 VTE 发生率和相关病死率。</w:t>
      </w:r>
    </w:p>
    <w:p w14:paraId="3A5DCFCD">
      <w:pPr>
        <w:numPr>
          <w:ilvl w:val="0"/>
          <w:numId w:val="0"/>
        </w:numPr>
        <w:spacing w:before="120" w:after="120" w:line="288" w:lineRule="auto"/>
        <w:ind w:left="0" w:leftChars="0" w:firstLine="440" w:firstLineChars="200"/>
        <w:jc w:val="left"/>
      </w:pPr>
      <w:r>
        <w:rPr>
          <w:rFonts w:ascii="Arial" w:hAnsi="Arial" w:eastAsia="等线" w:cs="Arial"/>
          <w:b/>
          <w:sz w:val="22"/>
        </w:rPr>
        <w:t>关键说明</w:t>
      </w:r>
      <w:r>
        <w:rPr>
          <w:rFonts w:ascii="Arial" w:hAnsi="Arial" w:eastAsia="等线" w:cs="Arial"/>
          <w:sz w:val="22"/>
        </w:rPr>
        <w:t>：</w:t>
      </w:r>
    </w:p>
    <w:p w14:paraId="136673C3">
      <w:pPr>
        <w:numPr>
          <w:ilvl w:val="0"/>
          <w:numId w:val="0"/>
        </w:numPr>
        <w:spacing w:before="120" w:after="120" w:line="288" w:lineRule="auto"/>
        <w:ind w:left="453" w:leftChars="0" w:firstLine="440" w:firstLineChars="200"/>
        <w:jc w:val="left"/>
      </w:pPr>
      <w:r>
        <w:rPr>
          <w:rFonts w:ascii="Arial" w:hAnsi="Arial" w:eastAsia="等线" w:cs="Arial"/>
          <w:sz w:val="22"/>
        </w:rPr>
        <w:t>需关注</w:t>
      </w:r>
      <w:r>
        <w:rPr>
          <w:rFonts w:ascii="Arial" w:hAnsi="Arial" w:eastAsia="等线" w:cs="Arial"/>
          <w:b/>
          <w:sz w:val="22"/>
        </w:rPr>
        <w:t>动态时点</w:t>
      </w:r>
      <w:r>
        <w:rPr>
          <w:rFonts w:ascii="Arial" w:hAnsi="Arial" w:eastAsia="等线" w:cs="Arial"/>
          <w:sz w:val="22"/>
        </w:rPr>
        <w:t>：入院 24h 内、病情 / 治疗变化时（手术前后 24h、转科后 24h、护理级别变化、</w:t>
      </w:r>
      <w:r>
        <w:rPr>
          <w:rFonts w:hint="eastAsia" w:ascii="Arial" w:hAnsi="Arial" w:eastAsia="等线" w:cs="Arial"/>
          <w:sz w:val="22"/>
          <w:lang w:eastAsia="zh-CN"/>
        </w:rPr>
        <w:t>病区发生重大变化如下病重、病危时</w:t>
      </w:r>
      <w:r>
        <w:rPr>
          <w:rFonts w:ascii="Arial" w:hAnsi="Arial" w:eastAsia="等线" w:cs="Arial"/>
          <w:sz w:val="22"/>
        </w:rPr>
        <w:t>）、出院前 24h 内。</w:t>
      </w:r>
    </w:p>
    <w:p w14:paraId="30AE70F0">
      <w:pPr>
        <w:numPr>
          <w:ilvl w:val="0"/>
          <w:numId w:val="0"/>
        </w:numPr>
        <w:spacing w:before="120" w:after="120" w:line="288" w:lineRule="auto"/>
        <w:ind w:left="453" w:leftChars="0" w:firstLine="440" w:firstLineChars="200"/>
        <w:jc w:val="left"/>
      </w:pPr>
      <w:r>
        <w:rPr>
          <w:rFonts w:ascii="Arial" w:hAnsi="Arial" w:eastAsia="等线" w:cs="Arial"/>
          <w:sz w:val="22"/>
        </w:rPr>
        <w:t>不同人群适配不同评估量表：手术患者用 Caprini 评分，非手术患者用 Padua 评分，肿瘤患者可联合 Caprini 和 Khorana 评分。</w:t>
      </w:r>
    </w:p>
    <w:p w14:paraId="6EA3F77D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2. VTE 中高风险比例</w:t>
      </w:r>
      <w:bookmarkEnd w:id="2"/>
    </w:p>
    <w:p w14:paraId="13C547B4">
      <w:pPr>
        <w:numPr>
          <w:ilvl w:val="0"/>
          <w:numId w:val="0"/>
        </w:numPr>
        <w:spacing w:before="120" w:after="120" w:line="288" w:lineRule="auto"/>
        <w:ind w:left="0" w:leftChars="0" w:firstLine="440" w:firstLineChars="200"/>
        <w:jc w:val="left"/>
      </w:pPr>
      <w:r>
        <w:rPr>
          <w:rFonts w:ascii="Arial" w:hAnsi="Arial" w:eastAsia="等线" w:cs="Arial"/>
          <w:b/>
          <w:sz w:val="22"/>
        </w:rPr>
        <w:t>定义</w:t>
      </w:r>
      <w:r>
        <w:rPr>
          <w:rFonts w:ascii="Arial" w:hAnsi="Arial" w:eastAsia="等线" w:cs="Arial"/>
          <w:sz w:val="22"/>
        </w:rPr>
        <w:t>：接受 VTE 风险评估的出院患者中，任意一次评估结果为中、高风险的患者占比。</w:t>
      </w:r>
    </w:p>
    <w:p w14:paraId="4552CFBD">
      <w:pPr>
        <w:numPr>
          <w:ilvl w:val="0"/>
          <w:numId w:val="0"/>
        </w:numPr>
        <w:spacing w:before="120" w:after="120" w:line="288" w:lineRule="auto"/>
        <w:ind w:left="0" w:leftChars="0" w:firstLine="440" w:firstLineChars="200"/>
        <w:jc w:val="left"/>
        <w:rPr>
          <w:rFonts w:hAnsi="Cambria Math"/>
          <w:i w:val="0"/>
        </w:rPr>
      </w:pPr>
      <w:r>
        <w:rPr>
          <w:rFonts w:ascii="Arial" w:hAnsi="Arial" w:eastAsia="等线" w:cs="Arial"/>
          <w:b/>
          <w:sz w:val="22"/>
        </w:rPr>
        <w:t>计算公式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>
              <m:nor/>
              <m:sty m:val="p"/>
            </m:rPr>
            <w:rPr>
              <w:rFonts w:ascii="Cambria Math" w:hAnsi="Cambria Math"/>
              <w:b w:val="0"/>
              <w:i w:val="0"/>
            </w:rPr>
            <m:t>VTE中高风险比例</m:t>
          </m:r>
          <m:r>
            <m:rPr/>
            <w:rPr>
              <w:rFonts w:ascii="Cambria Math" w:hAnsi="Cambria Math"/>
            </w:rPr>
            <m:t>=</m:t>
          </m:r>
          <m:f>
            <m:fPr/>
            <m:num>
              <m:r>
                <m:rPr>
                  <m:nor/>
                  <m:sty m:val="p"/>
                </m:rPr>
                <w:rPr>
                  <w:rFonts w:ascii="Cambria Math" w:hAnsi="Cambria Math"/>
                  <w:b w:val="0"/>
                  <w:i w:val="0"/>
                </w:rPr>
                <m:t>住院期间任一次VTE风险评估为中/高风险的出院患者数</m:t>
              </m:r>
            </m:num>
            <m:den>
              <m:r>
                <m:rPr>
                  <m:nor/>
                  <m:sty m:val="p"/>
                </m:rPr>
                <w:rPr>
                  <w:rFonts w:ascii="Cambria Math" w:hAnsi="Cambria Math"/>
                  <w:b w:val="0"/>
                  <w:i w:val="0"/>
                </w:rPr>
                <m:t>同期进行VTE风险评估的出院患者总数</m:t>
              </m:r>
            </m:den>
          </m:f>
          <m:r>
            <m:rPr/>
            <w:rPr>
              <w:rFonts w:ascii="Cambria Math" w:hAnsi="Cambria Math"/>
            </w:rPr>
            <m:t>×100</m:t>
          </m:r>
        </m:oMath>
      </m:oMathPara>
    </w:p>
    <w:p w14:paraId="07EAE1CC">
      <w:pPr>
        <w:numPr>
          <w:ilvl w:val="0"/>
          <w:numId w:val="0"/>
        </w:numPr>
        <w:spacing w:before="120" w:after="120" w:line="288" w:lineRule="auto"/>
        <w:ind w:left="0" w:leftChars="0" w:firstLine="420" w:firstLineChars="200"/>
        <w:jc w:val="left"/>
        <w:rPr>
          <w:rFonts w:hint="default" w:hAnsi="Cambria Math" w:eastAsiaTheme="minorEastAsia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分子：含中危、高危的就算1</w:t>
      </w:r>
    </w:p>
    <w:p w14:paraId="350AD714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3. 出血风险评估率</w:t>
      </w:r>
      <w:bookmarkEnd w:id="3"/>
    </w:p>
    <w:p w14:paraId="2E60A141">
      <w:pPr>
        <w:numPr>
          <w:ilvl w:val="0"/>
          <w:numId w:val="0"/>
        </w:numPr>
        <w:spacing w:before="120" w:after="120" w:line="288" w:lineRule="auto"/>
        <w:ind w:left="0" w:leftChars="0" w:firstLine="440" w:firstLineChars="200"/>
        <w:jc w:val="left"/>
      </w:pPr>
      <w:r>
        <w:rPr>
          <w:rFonts w:ascii="Arial" w:hAnsi="Arial" w:eastAsia="等线" w:cs="Arial"/>
          <w:b/>
          <w:sz w:val="22"/>
        </w:rPr>
        <w:t>定义</w:t>
      </w:r>
      <w:r>
        <w:rPr>
          <w:rFonts w:ascii="Arial" w:hAnsi="Arial" w:eastAsia="等线" w:cs="Arial"/>
          <w:sz w:val="22"/>
        </w:rPr>
        <w:t>：VTE 风险评估为中、高风险的患者中，同步接受出血风险评估的患者占比。</w:t>
      </w:r>
    </w:p>
    <w:p w14:paraId="0AD3C3C7">
      <w:pPr>
        <w:numPr>
          <w:ilvl w:val="0"/>
          <w:numId w:val="0"/>
        </w:numPr>
        <w:spacing w:before="120" w:after="120" w:line="288" w:lineRule="auto"/>
        <w:ind w:left="0" w:leftChars="0" w:firstLine="440" w:firstLineChars="200"/>
        <w:jc w:val="left"/>
        <w:rPr>
          <w:rFonts w:hAnsi="Cambria Math"/>
          <w:i w:val="0"/>
        </w:rPr>
      </w:pPr>
      <w:r>
        <w:rPr>
          <w:rFonts w:ascii="Arial" w:hAnsi="Arial" w:eastAsia="等线" w:cs="Arial"/>
          <w:b/>
          <w:sz w:val="22"/>
        </w:rPr>
        <w:t>计算公式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>
              <m:nor/>
              <m:sty m:val="p"/>
            </m:rPr>
            <w:rPr>
              <w:rFonts w:ascii="Cambria Math" w:hAnsi="Cambria Math"/>
              <w:b w:val="0"/>
              <w:i w:val="0"/>
            </w:rPr>
            <m:t>出血风险评估率</m:t>
          </m:r>
          <m:r>
            <m:rPr/>
            <w:rPr>
              <w:rFonts w:ascii="Cambria Math" w:hAnsi="Cambria Math"/>
            </w:rPr>
            <m:t>=</m:t>
          </m:r>
          <m:f>
            <m:fPr/>
            <m:num>
              <m:r>
                <m:rPr>
                  <m:nor/>
                  <m:sty m:val="p"/>
                </m:rPr>
                <w:rPr>
                  <w:rFonts w:ascii="Cambria Math" w:hAnsi="Cambria Math"/>
                  <w:b w:val="0"/>
                  <w:i w:val="0"/>
                </w:rPr>
                <m:t>接受出血风险评估的VTE中高风险出院患者数</m:t>
              </m:r>
            </m:num>
            <m:den>
              <m:r>
                <m:rPr>
                  <m:nor/>
                  <m:sty m:val="p"/>
                </m:rPr>
                <w:rPr>
                  <w:rFonts w:ascii="Cambria Math" w:hAnsi="Cambria Math"/>
                  <w:b w:val="0"/>
                  <w:i w:val="0"/>
                </w:rPr>
                <m:t>同期VTE风险评估为中/高风险的出院患者总数</m:t>
              </m:r>
            </m:den>
          </m:f>
          <m:r>
            <m:rPr/>
            <w:rPr>
              <w:rFonts w:ascii="Cambria Math" w:hAnsi="Cambria Math"/>
            </w:rPr>
            <m:t>×100</m:t>
          </m:r>
        </m:oMath>
      </m:oMathPara>
    </w:p>
    <w:p w14:paraId="42C7316E">
      <w:pPr>
        <w:numPr>
          <w:ilvl w:val="0"/>
          <w:numId w:val="0"/>
        </w:numPr>
        <w:spacing w:before="120" w:after="120" w:line="288" w:lineRule="auto"/>
        <w:ind w:left="0" w:leftChars="0" w:firstLine="420" w:firstLineChars="200"/>
        <w:jc w:val="left"/>
        <w:rPr>
          <w:rFonts w:hint="default" w:hAnsi="Cambria Math" w:eastAsiaTheme="minorEastAsia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分子：知情同意书：非手术患者的出血因素、外科住院患者出血风险评估量表，填了算1</w:t>
      </w:r>
    </w:p>
    <w:p w14:paraId="5C00BACF">
      <w:pPr>
        <w:numPr>
          <w:ilvl w:val="0"/>
          <w:numId w:val="0"/>
        </w:numPr>
        <w:spacing w:before="120" w:after="120" w:line="288" w:lineRule="auto"/>
        <w:ind w:left="0" w:leftChars="0" w:firstLine="420" w:firstLineChars="200"/>
        <w:jc w:val="left"/>
        <w:rPr>
          <w:rFonts w:hAnsi="Cambria Math"/>
          <w:i w:val="0"/>
        </w:rPr>
      </w:pPr>
    </w:p>
    <w:p w14:paraId="14EEE963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4. 出血高风险比例</w:t>
      </w:r>
      <w:bookmarkEnd w:id="4"/>
    </w:p>
    <w:p w14:paraId="15EDD5AB">
      <w:pPr>
        <w:numPr>
          <w:ilvl w:val="0"/>
          <w:numId w:val="0"/>
        </w:numPr>
        <w:spacing w:before="120" w:after="120" w:line="288" w:lineRule="auto"/>
        <w:ind w:left="0" w:leftChars="0" w:firstLine="440" w:firstLineChars="200"/>
        <w:jc w:val="left"/>
      </w:pPr>
      <w:r>
        <w:rPr>
          <w:rFonts w:ascii="Arial" w:hAnsi="Arial" w:eastAsia="等线" w:cs="Arial"/>
          <w:b/>
          <w:sz w:val="22"/>
        </w:rPr>
        <w:t>定义</w:t>
      </w:r>
      <w:r>
        <w:rPr>
          <w:rFonts w:ascii="Arial" w:hAnsi="Arial" w:eastAsia="等线" w:cs="Arial"/>
          <w:sz w:val="22"/>
        </w:rPr>
        <w:t>：接受出血风险评估的出院患者中，任意一次评估结果为出血高风险的患者占比。</w:t>
      </w:r>
    </w:p>
    <w:p w14:paraId="1873431B">
      <w:pPr>
        <w:numPr>
          <w:ilvl w:val="0"/>
          <w:numId w:val="0"/>
        </w:numPr>
        <w:spacing w:before="120" w:after="120" w:line="288" w:lineRule="auto"/>
        <w:ind w:left="0" w:leftChars="0" w:firstLine="440" w:firstLineChars="200"/>
        <w:jc w:val="left"/>
        <w:rPr>
          <w:rFonts w:hAnsi="Cambria Math"/>
          <w:i w:val="0"/>
        </w:rPr>
      </w:pPr>
      <w:r>
        <w:rPr>
          <w:rFonts w:ascii="Arial" w:hAnsi="Arial" w:eastAsia="等线" w:cs="Arial"/>
          <w:b/>
          <w:sz w:val="22"/>
        </w:rPr>
        <w:t>计算公式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>
              <m:nor/>
              <m:sty m:val="p"/>
            </m:rPr>
            <w:rPr>
              <w:rFonts w:ascii="Cambria Math" w:hAnsi="Cambria Math"/>
              <w:b w:val="0"/>
              <w:i w:val="0"/>
            </w:rPr>
            <m:t>出血高风险比例</m:t>
          </m:r>
          <m:r>
            <m:rPr/>
            <w:rPr>
              <w:rFonts w:ascii="Cambria Math" w:hAnsi="Cambria Math"/>
            </w:rPr>
            <m:t>=</m:t>
          </m:r>
          <m:f>
            <m:fPr/>
            <m:num>
              <m:r>
                <m:rPr>
                  <m:nor/>
                  <m:sty m:val="p"/>
                </m:rPr>
                <w:rPr>
                  <w:rFonts w:ascii="Cambria Math" w:hAnsi="Cambria Math"/>
                  <w:b w:val="0"/>
                  <w:i w:val="0"/>
                </w:rPr>
                <m:t>住院期间任一次出血风险评估为高风险的出院患者数</m:t>
              </m:r>
            </m:num>
            <m:den>
              <m:r>
                <m:rPr>
                  <m:nor/>
                  <m:sty m:val="p"/>
                </m:rPr>
                <w:rPr>
                  <w:rFonts w:ascii="Cambria Math" w:hAnsi="Cambria Math"/>
                  <w:b w:val="0"/>
                  <w:i w:val="0"/>
                </w:rPr>
                <m:t>同期进行出血风险评估的出院患者总数</m:t>
              </m:r>
            </m:den>
          </m:f>
          <m:r>
            <m:rPr/>
            <w:rPr>
              <w:rFonts w:ascii="Cambria Math" w:hAnsi="Cambria Math"/>
            </w:rPr>
            <m:t>×100</m:t>
          </m:r>
        </m:oMath>
      </m:oMathPara>
    </w:p>
    <w:p w14:paraId="5DA86EFC">
      <w:pPr>
        <w:numPr>
          <w:ilvl w:val="0"/>
          <w:numId w:val="0"/>
        </w:numPr>
        <w:spacing w:before="120" w:after="120" w:line="288" w:lineRule="auto"/>
        <w:ind w:left="0" w:leftChars="0" w:firstLine="420" w:firstLineChars="200"/>
        <w:jc w:val="left"/>
        <w:rPr>
          <w:rFonts w:hint="default" w:hAnsi="Cambria Math"/>
          <w:i w:val="0"/>
          <w:lang w:val="en-US"/>
        </w:rPr>
      </w:pPr>
      <w:r>
        <w:rPr>
          <w:rFonts w:hint="eastAsia" w:hAnsi="Cambria Math"/>
          <w:i w:val="0"/>
          <w:lang w:val="en-US" w:eastAsia="zh-CN"/>
        </w:rPr>
        <w:t>分子：知情同意书：非手术患者的出血因素、外科住院患者出血风险评估量表，增加风险评估元素：低危、中危、高危和极高危，高危和极高危的算一个</w:t>
      </w:r>
    </w:p>
    <w:p w14:paraId="55B6106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89AAF09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二、预防质量指标：干预落实的过程环节</w:t>
      </w:r>
      <w:bookmarkEnd w:id="5"/>
    </w:p>
    <w:p w14:paraId="1EEDC3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针对评估出的风险，落实对应的预防措施，是降低 VTE 发生的核心过程，核心包含 3 项细分指标，部分地区会整合为统一的</w:t>
      </w:r>
      <w:r>
        <w:rPr>
          <w:rFonts w:ascii="Arial" w:hAnsi="Arial" w:eastAsia="等线" w:cs="Arial"/>
          <w:b/>
          <w:sz w:val="22"/>
        </w:rPr>
        <w:t>VTE 规范预防率</w:t>
      </w:r>
      <w:r>
        <w:rPr>
          <w:rFonts w:ascii="Arial" w:hAnsi="Arial" w:eastAsia="等线" w:cs="Arial"/>
          <w:sz w:val="22"/>
        </w:rPr>
        <w:t>。</w:t>
      </w:r>
    </w:p>
    <w:p w14:paraId="6460CB1C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1. 药物预防实施率</w:t>
      </w:r>
      <w:bookmarkEnd w:id="6"/>
    </w:p>
    <w:p w14:paraId="3EFE5E7A">
      <w:pPr>
        <w:numPr>
          <w:ilvl w:val="0"/>
          <w:numId w:val="0"/>
        </w:numPr>
        <w:spacing w:before="120" w:after="120" w:line="288" w:lineRule="auto"/>
        <w:ind w:left="0" w:leftChars="0" w:firstLine="440" w:firstLineChars="200"/>
        <w:jc w:val="left"/>
      </w:pPr>
      <w:r>
        <w:rPr>
          <w:rFonts w:ascii="Arial" w:hAnsi="Arial" w:eastAsia="等线" w:cs="Arial"/>
          <w:b/>
          <w:sz w:val="22"/>
        </w:rPr>
        <w:t>定义</w:t>
      </w:r>
      <w:r>
        <w:rPr>
          <w:rFonts w:ascii="Arial" w:hAnsi="Arial" w:eastAsia="等线" w:cs="Arial"/>
          <w:sz w:val="22"/>
        </w:rPr>
        <w:t>：VTE 中高风险且出血低风险的患者中，按规范实施药物预防的比例。</w:t>
      </w:r>
    </w:p>
    <w:p w14:paraId="49FBB62F">
      <w:pPr>
        <w:numPr>
          <w:ilvl w:val="0"/>
          <w:numId w:val="0"/>
        </w:numPr>
        <w:spacing w:before="120" w:after="120" w:line="288" w:lineRule="auto"/>
        <w:ind w:left="0" w:leftChars="0" w:firstLine="440" w:firstLineChars="200"/>
        <w:jc w:val="left"/>
        <m:rPr/>
        <w:rPr>
          <w:rFonts w:hAnsi="Cambria Math"/>
          <w:i w:val="0"/>
        </w:rPr>
      </w:pPr>
      <w:r>
        <w:rPr>
          <w:rFonts w:ascii="Arial" w:hAnsi="Arial" w:eastAsia="等线" w:cs="Arial"/>
          <w:b/>
          <w:sz w:val="22"/>
        </w:rPr>
        <w:t>计算公式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>
              <m:nor/>
              <m:sty m:val="p"/>
            </m:rPr>
            <w:rPr>
              <w:rFonts w:ascii="Cambria Math" w:hAnsi="Cambria Math"/>
              <w:b w:val="0"/>
              <w:i w:val="0"/>
            </w:rPr>
            <m:t>药物预防实施率</m:t>
          </m:r>
          <m:r>
            <m:rPr/>
            <w:rPr>
              <w:rFonts w:ascii="Cambria Math" w:hAnsi="Cambria Math"/>
            </w:rPr>
            <m:t>=</m:t>
          </m:r>
          <m:f>
            <m:fPr/>
            <m:num>
              <m:r>
                <m:rPr>
                  <m:nor/>
                  <m:sty m:val="p"/>
                </m:rPr>
                <w:rPr>
                  <w:rFonts w:ascii="Cambria Math" w:hAnsi="Cambria Math"/>
                  <w:b w:val="0"/>
                  <w:i w:val="0"/>
                </w:rPr>
                <m:t>开</m:t>
              </m:r>
              <m:r>
                <m:rPr>
                  <m:nor/>
                  <m:sty m:val="p"/>
                </m:rPr>
                <w:rPr>
                  <w:rFonts w:hint="default" w:ascii="Cambria Math" w:hAnsi="Cambria Math"/>
                  <w:b w:val="0"/>
                  <w:i w:val="0"/>
                  <w:lang w:eastAsia="zh-CN"/>
                </w:rPr>
                <m:t>具</m:t>
              </m:r>
              <m:r>
                <m:rPr>
                  <m:nor/>
                  <m:sty m:val="p"/>
                </m:rPr>
                <w:rPr>
                  <w:rFonts w:ascii="Cambria Math" w:hAnsi="Cambria Math"/>
                  <w:b w:val="0"/>
                  <w:i w:val="0"/>
                </w:rPr>
                <m:t>药物预防医嘱的出院患者数</m:t>
              </m:r>
            </m:num>
            <m:den>
              <m:r>
                <m:rPr>
                  <m:nor/>
                  <m:sty m:val="p"/>
                </m:rPr>
                <w:rPr>
                  <w:rFonts w:ascii="Cambria Math" w:hAnsi="Cambria Math"/>
                  <w:b w:val="0"/>
                  <w:i w:val="0"/>
                </w:rPr>
                <m:t>VTE中高风险且低出血风险的出院患者总数</m:t>
              </m:r>
            </m:den>
          </m:f>
          <m:r>
            <m:rPr/>
            <w:rPr>
              <w:rFonts w:ascii="Cambria Math" w:hAnsi="Cambria Math"/>
            </w:rPr>
            <m:t>×100</m:t>
          </m:r>
        </m:oMath>
      </m:oMathPara>
    </w:p>
    <w:p w14:paraId="47580224">
      <w:pPr>
        <w:numPr>
          <w:ilvl w:val="0"/>
          <w:numId w:val="0"/>
        </w:numPr>
        <w:spacing w:before="120" w:after="120" w:line="288" w:lineRule="auto"/>
        <w:ind w:left="0" w:leftChars="0" w:firstLine="420" w:firstLineChars="200"/>
        <w:jc w:val="left"/>
        <m:rPr/>
        <w:rPr>
          <w:rFonts w:hint="default" w:hAnsi="Cambria Math"/>
          <w:i w:val="0"/>
          <w:lang w:val="en-US"/>
        </w:rPr>
      </w:pPr>
      <w:r>
        <w:rPr>
          <w:rFonts w:hint="eastAsia" w:hAnsi="Cambria Math"/>
          <w:i w:val="0"/>
          <w:lang w:val="en-US" w:eastAsia="zh-CN"/>
        </w:rPr>
        <w:t>备注：分子：caprini、padua深静脉血栓风险评估表，选项药物预防勾了就算1</w:t>
      </w:r>
    </w:p>
    <w:p w14:paraId="088D60B9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2. 机械预防实施率</w:t>
      </w:r>
      <w:bookmarkEnd w:id="7"/>
    </w:p>
    <w:p w14:paraId="768DEEC2">
      <w:pPr>
        <w:numPr>
          <w:ilvl w:val="0"/>
          <w:numId w:val="0"/>
        </w:numPr>
        <w:spacing w:before="120" w:after="120" w:line="288" w:lineRule="auto"/>
        <w:ind w:left="0" w:leftChars="0" w:firstLine="440" w:firstLineChars="200"/>
        <w:jc w:val="left"/>
      </w:pPr>
      <w:r>
        <w:rPr>
          <w:rFonts w:ascii="Arial" w:hAnsi="Arial" w:eastAsia="等线" w:cs="Arial"/>
          <w:b/>
          <w:sz w:val="22"/>
        </w:rPr>
        <w:t>定义</w:t>
      </w:r>
      <w:r>
        <w:rPr>
          <w:rFonts w:ascii="Arial" w:hAnsi="Arial" w:eastAsia="等线" w:cs="Arial"/>
          <w:sz w:val="22"/>
        </w:rPr>
        <w:t>：VTE 中高风险且出血高风险的患者中，按规范实施机械预防的比例。</w:t>
      </w:r>
    </w:p>
    <w:p w14:paraId="7BE2E331">
      <w:pPr>
        <w:numPr>
          <w:ilvl w:val="0"/>
          <w:numId w:val="0"/>
        </w:numPr>
        <w:spacing w:before="120" w:after="120" w:line="288" w:lineRule="auto"/>
        <w:ind w:left="0" w:leftChars="0" w:firstLine="440" w:firstLineChars="200"/>
        <w:jc w:val="left"/>
        <m:rPr/>
        <w:rPr>
          <w:rFonts w:hAnsi="Cambria Math"/>
          <w:i w:val="0"/>
        </w:rPr>
      </w:pPr>
      <w:r>
        <w:rPr>
          <w:rFonts w:ascii="Arial" w:hAnsi="Arial" w:eastAsia="等线" w:cs="Arial"/>
          <w:b/>
          <w:sz w:val="22"/>
        </w:rPr>
        <w:t>计算公式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>
              <m:nor/>
              <m:sty m:val="p"/>
            </m:rPr>
            <w:rPr>
              <w:rFonts w:ascii="Cambria Math" w:hAnsi="Cambria Math"/>
              <w:b w:val="0"/>
              <w:i w:val="0"/>
            </w:rPr>
            <m:t>机械预防实施率</m:t>
          </m:r>
          <m:r>
            <m:rPr/>
            <w:rPr>
              <w:rFonts w:ascii="Cambria Math" w:hAnsi="Cambria Math"/>
            </w:rPr>
            <m:t>=</m:t>
          </m:r>
          <m:f>
            <m:fPr/>
            <m:num>
              <m:r>
                <m:rPr>
                  <m:nor/>
                  <m:sty m:val="p"/>
                </m:rPr>
                <w:rPr>
                  <w:rFonts w:ascii="Cambria Math" w:hAnsi="Cambria Math"/>
                  <w:b w:val="0"/>
                  <w:i w:val="0"/>
                </w:rPr>
                <m:t>开</m:t>
              </m:r>
              <m:r>
                <m:rPr>
                  <m:nor/>
                  <m:sty m:val="p"/>
                </m:rPr>
                <w:rPr>
                  <w:rFonts w:hint="default" w:ascii="Cambria Math" w:hAnsi="Cambria Math"/>
                  <w:b w:val="0"/>
                  <w:i w:val="0"/>
                  <w:lang w:eastAsia="zh-CN"/>
                </w:rPr>
                <m:t>具</m:t>
              </m:r>
              <m:r>
                <m:rPr>
                  <m:nor/>
                  <m:sty m:val="p"/>
                </m:rPr>
                <w:rPr>
                  <w:rFonts w:ascii="Cambria Math" w:hAnsi="Cambria Math"/>
                  <w:b w:val="0"/>
                  <w:i w:val="0"/>
                </w:rPr>
                <m:t>机械预防医嘱的出院患者数</m:t>
              </m:r>
            </m:num>
            <m:den>
              <m:r>
                <m:rPr>
                  <m:nor/>
                  <m:sty m:val="p"/>
                </m:rPr>
                <w:rPr>
                  <w:rFonts w:ascii="Cambria Math" w:hAnsi="Cambria Math"/>
                  <w:b w:val="0"/>
                  <w:i w:val="0"/>
                </w:rPr>
                <m:t>VTE中高风险且高出血风险的出院患者总数</m:t>
              </m:r>
            </m:den>
          </m:f>
          <m:r>
            <m:rPr/>
            <w:rPr>
              <w:rFonts w:ascii="Cambria Math" w:hAnsi="Cambria Math"/>
            </w:rPr>
            <m:t>×100</m:t>
          </m:r>
        </m:oMath>
      </m:oMathPara>
    </w:p>
    <w:p w14:paraId="65F1A47F">
      <w:pPr>
        <w:numPr>
          <w:ilvl w:val="0"/>
          <w:numId w:val="0"/>
        </w:numPr>
        <w:spacing w:before="120" w:after="120" w:line="288" w:lineRule="auto"/>
        <w:ind w:left="0" w:leftChars="0" w:firstLine="420" w:firstLineChars="200"/>
        <w:jc w:val="left"/>
        <m:rPr/>
        <w:rPr>
          <w:rFonts w:hAnsi="Cambria Math"/>
          <w:i w:val="0"/>
        </w:rPr>
      </w:pPr>
      <w:r>
        <w:rPr>
          <w:rFonts w:hint="eastAsia" w:hAnsi="Cambria Math"/>
          <w:i w:val="0"/>
          <w:lang w:val="en-US" w:eastAsia="zh-CN"/>
        </w:rPr>
        <w:t>备注：分子：caprini、padua深静脉血栓风险评估表，增加机械预防勾选、选项勾了就算1</w:t>
      </w:r>
    </w:p>
    <w:p w14:paraId="7095FEE4">
      <w:pPr>
        <w:numPr>
          <w:ilvl w:val="0"/>
          <w:numId w:val="0"/>
        </w:numPr>
        <w:spacing w:before="120" w:after="120" w:line="288" w:lineRule="auto"/>
        <w:ind w:left="0" w:leftChars="0" w:firstLine="440" w:firstLineChars="200"/>
        <w:jc w:val="left"/>
      </w:pPr>
      <w:r>
        <w:rPr>
          <w:rFonts w:ascii="Arial" w:hAnsi="Arial" w:eastAsia="等线" w:cs="Arial"/>
          <w:b/>
          <w:sz w:val="22"/>
        </w:rPr>
        <w:t>意义</w:t>
      </w:r>
      <w:r>
        <w:rPr>
          <w:rFonts w:ascii="Arial" w:hAnsi="Arial" w:eastAsia="等线" w:cs="Arial"/>
          <w:sz w:val="22"/>
        </w:rPr>
        <w:t>：出血高风险患者无法安全使用抗凝药物，机械预防（如梯度压力弹力袜、间歇充气加压装置等）是此时的核心预防手段。</w:t>
      </w:r>
    </w:p>
    <w:p w14:paraId="4427EB80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 联合预防实施率</w:t>
      </w:r>
      <w:bookmarkEnd w:id="8"/>
    </w:p>
    <w:p w14:paraId="2A95C660">
      <w:pPr>
        <w:numPr>
          <w:ilvl w:val="0"/>
          <w:numId w:val="0"/>
        </w:numPr>
        <w:spacing w:before="120" w:after="120" w:line="288" w:lineRule="auto"/>
        <w:ind w:left="0" w:leftChars="0" w:firstLine="440" w:firstLineChars="200"/>
        <w:jc w:val="left"/>
      </w:pPr>
      <w:r>
        <w:rPr>
          <w:rFonts w:ascii="Arial" w:hAnsi="Arial" w:eastAsia="等线" w:cs="Arial"/>
          <w:b/>
          <w:sz w:val="22"/>
        </w:rPr>
        <w:t>定义</w:t>
      </w:r>
      <w:r>
        <w:rPr>
          <w:rFonts w:ascii="Arial" w:hAnsi="Arial" w:eastAsia="等线" w:cs="Arial"/>
          <w:sz w:val="22"/>
        </w:rPr>
        <w:t>：VTE 高风险且出血低风险的患者中，联合使用药物 + 机械预防的比例。</w:t>
      </w:r>
    </w:p>
    <w:p w14:paraId="4446D86A">
      <w:pPr>
        <w:numPr>
          <w:ilvl w:val="0"/>
          <w:numId w:val="0"/>
        </w:numPr>
        <w:spacing w:before="120" w:after="120" w:line="288" w:lineRule="auto"/>
        <w:ind w:left="0" w:leftChars="0" w:firstLine="440" w:firstLineChars="200"/>
        <w:jc w:val="left"/>
        <m:rPr/>
        <w:rPr>
          <w:rFonts w:hAnsi="Cambria Math"/>
          <w:i w:val="0"/>
        </w:rPr>
      </w:pPr>
      <w:r>
        <w:rPr>
          <w:rFonts w:ascii="Arial" w:hAnsi="Arial" w:eastAsia="等线" w:cs="Arial"/>
          <w:b/>
          <w:sz w:val="22"/>
        </w:rPr>
        <w:t>计算公式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>
              <m:nor/>
              <m:sty m:val="p"/>
            </m:rPr>
            <w:rPr>
              <w:rFonts w:ascii="Cambria Math" w:hAnsi="Cambria Math"/>
              <w:b w:val="0"/>
              <w:i w:val="0"/>
            </w:rPr>
            <m:t>联合预防实施率</m:t>
          </m:r>
          <m:r>
            <m:rPr/>
            <w:rPr>
              <w:rFonts w:ascii="Cambria Math" w:hAnsi="Cambria Math"/>
            </w:rPr>
            <m:t>=</m:t>
          </m:r>
          <m:f>
            <m:fPr/>
            <m:num>
              <m:r>
                <m:rPr>
                  <m:nor/>
                  <m:sty m:val="p"/>
                </m:rPr>
                <w:rPr>
                  <w:rFonts w:ascii="Cambria Math" w:hAnsi="Cambria Math"/>
                  <w:b w:val="0"/>
                  <w:i w:val="0"/>
                </w:rPr>
                <m:t>同时开立药物+机械预防医嘱的出院患者数</m:t>
              </m:r>
            </m:num>
            <m:den>
              <m:r>
                <m:rPr>
                  <m:nor/>
                  <m:sty m:val="p"/>
                </m:rPr>
                <w:rPr>
                  <w:rFonts w:ascii="Cambria Math" w:hAnsi="Cambria Math"/>
                  <w:b w:val="0"/>
                  <w:i w:val="0"/>
                </w:rPr>
                <m:t>VTE高风险且低出血风险的出院患者总数</m:t>
              </m:r>
            </m:den>
          </m:f>
          <m:r>
            <m:rPr/>
            <w:rPr>
              <w:rFonts w:ascii="Cambria Math" w:hAnsi="Cambria Math"/>
            </w:rPr>
            <m:t>×100</m:t>
          </m:r>
        </m:oMath>
      </m:oMathPara>
    </w:p>
    <w:p w14:paraId="7BBE4C15">
      <w:pPr>
        <w:numPr>
          <w:ilvl w:val="0"/>
          <w:numId w:val="0"/>
        </w:numPr>
        <w:spacing w:before="120" w:after="120" w:line="288" w:lineRule="auto"/>
        <w:ind w:left="0" w:leftChars="0" w:firstLine="420" w:firstLineChars="200"/>
        <w:jc w:val="left"/>
        <m:rPr/>
        <w:rPr>
          <w:rFonts w:hAnsi="Cambria Math"/>
          <w:i w:val="0"/>
        </w:rPr>
      </w:pPr>
      <w:r>
        <w:rPr>
          <w:rFonts w:hint="eastAsia" w:hAnsi="Cambria Math"/>
          <w:i w:val="0"/>
          <w:lang w:val="en-US" w:eastAsia="zh-CN"/>
        </w:rPr>
        <w:t>备注：分子：caprini、padua深静脉血栓风险评估表，增加机械预防和药物预防都勾选过就算1</w:t>
      </w:r>
    </w:p>
    <w:p w14:paraId="3F8867D6">
      <w:pPr>
        <w:numPr>
          <w:ilvl w:val="0"/>
          <w:numId w:val="0"/>
        </w:numPr>
        <w:spacing w:before="120" w:after="120" w:line="288" w:lineRule="auto"/>
        <w:ind w:left="0" w:leftChars="0" w:firstLine="420" w:firstLineChars="200"/>
        <w:jc w:val="left"/>
        <m:rPr/>
        <w:rPr>
          <w:rFonts w:hAnsi="Cambria Math"/>
          <w:i w:val="0"/>
        </w:rPr>
      </w:pPr>
      <w:bookmarkStart w:id="10" w:name="_GoBack"/>
      <w:bookmarkEnd w:id="10"/>
    </w:p>
    <w:p w14:paraId="75810263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9" w:name="heading_9"/>
      <w:r>
        <w:rPr>
          <w:rFonts w:hint="eastAsia" w:ascii="Arial" w:hAnsi="Arial" w:eastAsia="等线" w:cs="Arial"/>
          <w:b/>
          <w:sz w:val="30"/>
          <w:lang w:val="en-US" w:eastAsia="zh-CN"/>
        </w:rPr>
        <w:t>4.</w:t>
      </w:r>
      <w:r>
        <w:rPr>
          <w:rFonts w:ascii="Arial" w:hAnsi="Arial" w:eastAsia="等线" w:cs="Arial"/>
          <w:b/>
          <w:sz w:val="30"/>
        </w:rPr>
        <w:t>VTE 规范预防率</w:t>
      </w:r>
      <w:bookmarkEnd w:id="9"/>
    </w:p>
    <w:p w14:paraId="0D136CCF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计算公式</w:t>
      </w:r>
      <w:r>
        <w:rPr>
          <w:rFonts w:ascii="Arial" w:hAnsi="Arial" w:eastAsia="等线" w:cs="Arial"/>
          <w:sz w:val="22"/>
        </w:rPr>
        <w:t>：</w:t>
      </w:r>
    </w:p>
    <w:p w14:paraId="23A4205E">
      <w:pPr>
        <w:numPr>
          <w:ilvl w:val="0"/>
          <w:numId w:val="0"/>
        </w:numPr>
        <w:spacing w:before="120" w:after="120" w:line="288" w:lineRule="auto"/>
        <w:ind w:left="0" w:leftChars="0" w:firstLine="420" w:firstLineChars="200"/>
        <w:jc w:val="left"/>
        <m:rPr/>
        <w:rPr>
          <w:rFonts w:hAnsi="Cambria Math"/>
          <w:i w:val="0"/>
        </w:rPr>
      </w:pPr>
      <m:oMathPara>
        <m:oMathParaPr>
          <m:jc m:val="left"/>
        </m:oMathParaPr>
        <m:oMath>
          <m:r>
            <m:rPr>
              <m:nor/>
              <m:sty m:val="p"/>
            </m:rPr>
            <w:rPr>
              <w:rFonts w:hint="default" w:ascii="Cambria Math" w:hAnsi="Cambria Math"/>
              <w:b w:val="0"/>
              <w:i w:val="0"/>
              <w:lang w:eastAsia="zh-CN"/>
            </w:rPr>
            <m:t>规范预防</m:t>
          </m:r>
          <m:r>
            <m:rPr>
              <m:nor/>
              <m:sty m:val="p"/>
            </m:rPr>
            <w:rPr>
              <w:rFonts w:ascii="Cambria Math" w:hAnsi="Cambria Math"/>
              <w:b w:val="0"/>
              <w:i w:val="0"/>
            </w:rPr>
            <m:t>率</m:t>
          </m:r>
          <m:r>
            <m:rPr/>
            <w:rPr>
              <w:rFonts w:ascii="Cambria Math" w:hAnsi="Cambria Math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hint="default" w:ascii="Cambria Math" w:hAnsi="Cambria Math"/>
                  <w:lang w:eastAsia="zh-CN"/>
                </w:rPr>
                <m:t>中</m:t>
              </m:r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/高危患者开具药物或机械预防患者数+极高危患者同时开具药物及机械预防患者数</m:t>
              </m:r>
            </m:num>
            <m:den>
              <m:r>
                <m:rPr>
                  <m:nor/>
                  <m:sty m:val="p"/>
                </m:rPr>
                <w:rPr>
                  <w:rFonts w:ascii="Cambria Math" w:hAnsi="Cambria Math"/>
                  <w:b w:val="0"/>
                  <w:i w:val="0"/>
                </w:rPr>
                <m:t>VTE</m:t>
              </m:r>
              <m:r>
                <m:rPr>
                  <m:nor/>
                  <m:sty m:val="p"/>
                </m:rPr>
                <w:rPr>
                  <w:rFonts w:hint="default" w:ascii="Cambria Math" w:hAnsi="Cambria Math"/>
                  <w:b w:val="0"/>
                  <w:i w:val="0"/>
                  <w:lang w:eastAsia="zh-CN"/>
                </w:rPr>
                <m:t>中</m:t>
              </m:r>
              <m:r>
                <m:rPr>
                  <m:nor/>
                  <m:sty m:val="p"/>
                </m:rPr>
                <w:rPr>
                  <w:rFonts w:ascii="Cambria Math" w:hAnsi="Cambria Math"/>
                  <w:b w:val="0"/>
                  <w:i w:val="0"/>
                </w:rPr>
                <m:t>高风险且低出血风险的出院患者总数</m:t>
              </m:r>
            </m:den>
          </m:f>
          <m:r>
            <m:rPr/>
            <w:rPr>
              <w:rFonts w:ascii="Cambria Math" w:hAnsi="Cambria Math"/>
            </w:rPr>
            <m:t>×100</m:t>
          </m:r>
        </m:oMath>
      </m:oMathPara>
    </w:p>
    <w:p w14:paraId="1139F30B">
      <w:pPr>
        <w:numPr>
          <w:ilvl w:val="0"/>
          <w:numId w:val="0"/>
        </w:numPr>
        <w:spacing w:before="120" w:after="120" w:line="288" w:lineRule="auto"/>
        <w:ind w:left="0" w:leftChars="0" w:firstLine="420" w:firstLineChars="200"/>
        <w:jc w:val="left"/>
        <m:rPr/>
        <w:rPr>
          <w:rFonts w:hAnsi="Cambria Math"/>
          <w:i w:val="0"/>
        </w:rPr>
      </w:pPr>
    </w:p>
    <w:p w14:paraId="77B01553">
      <w:pPr>
        <w:numPr>
          <w:ilvl w:val="0"/>
          <w:numId w:val="0"/>
        </w:numPr>
        <w:spacing w:before="120" w:after="120" w:line="288" w:lineRule="auto"/>
        <w:ind w:left="0" w:leftChars="0" w:firstLine="420" w:firstLineChars="200"/>
        <w:jc w:val="left"/>
        <w:rPr>
          <w:rFonts w:hAnsi="Cambria Math"/>
          <w:i w:val="0"/>
        </w:rPr>
      </w:pPr>
      <w:r>
        <w:rPr>
          <w:rFonts w:hint="eastAsia" w:hAnsi="Cambria Math"/>
          <w:i w:val="0"/>
          <w:lang w:val="en-US" w:eastAsia="zh-CN"/>
        </w:rPr>
        <w:t>备注：分子：caprini、padua深静脉血栓风险评估表，增加极高危选项，增加</w:t>
      </w:r>
      <m:oMath>
        <m:r>
          <m:rPr>
            <m:sty m:val="p"/>
          </m:rPr>
          <w:rPr>
            <w:rFonts w:hint="default" w:ascii="Cambria Math" w:hAnsi="Cambria Math"/>
            <w:lang w:eastAsia="zh-CN"/>
          </w:rPr>
          <m:t>中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>/高危患者开具药物或机械预防患者数+极高危患者同时开具药物及机械预防患者数</m:t>
        </m:r>
      </m:oMath>
      <w:r>
        <w:rPr>
          <w:rFonts w:hint="eastAsia" w:hAnsi="Cambria Math"/>
          <w:i w:val="0"/>
          <w:lang w:val="en-US" w:eastAsia="zh-CN"/>
        </w:rPr>
        <w:t>选过就算1</w:t>
      </w:r>
    </w:p>
    <w:p w14:paraId="09D8E8EA">
      <w:pPr>
        <w:numPr>
          <w:ilvl w:val="0"/>
          <w:numId w:val="0"/>
        </w:numPr>
        <w:spacing w:before="120" w:after="120" w:line="288" w:lineRule="auto"/>
        <w:ind w:left="0" w:leftChars="0" w:firstLine="420" w:firstLineChars="200"/>
        <w:jc w:val="left"/>
        <m:rPr/>
        <w:rPr>
          <w:rFonts w:hAnsi="Cambria Math"/>
          <w:i w:val="0"/>
        </w:rPr>
      </w:pPr>
    </w:p>
    <w:p w14:paraId="2381974E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</w:p>
    <w:p w14:paraId="2A2378F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护理部：</w:t>
      </w:r>
    </w:p>
    <w:p w14:paraId="596CBF6F">
      <w:pPr>
        <w:spacing w:before="120" w:after="120" w:line="288" w:lineRule="auto"/>
        <w:ind w:left="0"/>
        <w:jc w:val="left"/>
        <w:rPr>
          <w:rFonts w:hint="default"/>
          <w:color w:val="FF0000"/>
          <w:lang w:val="en-US"/>
        </w:rPr>
      </w:pPr>
      <w:r>
        <w:rPr>
          <w:rFonts w:hint="eastAsia" w:hAnsi="Cambria Math"/>
          <w:i w:val="0"/>
          <w:lang w:val="en-US" w:eastAsia="zh-CN"/>
        </w:rPr>
        <w:t>caprini、padua深静脉血栓风险评估表总分大于3,推送通知消息：VTE高危患者:提示医生需要完成出现量表评分、患者列表增加“VTE高危”</w:t>
      </w:r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C343D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E64DF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1633DD"/>
    <w:rsid w:val="27931C3F"/>
    <w:rsid w:val="321F67DD"/>
    <w:rsid w:val="360608B3"/>
    <w:rsid w:val="4646682B"/>
    <w:rsid w:val="4C4905BD"/>
    <w:rsid w:val="65E90894"/>
    <w:rsid w:val="720C7814"/>
    <w:rsid w:val="7271123C"/>
    <w:rsid w:val="749843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560" w:lineRule="exact"/>
      <w:ind w:firstLine="964" w:firstLineChars="20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1926</Words>
  <Characters>2140</Characters>
  <TotalTime>19</TotalTime>
  <ScaleCrop>false</ScaleCrop>
  <LinksUpToDate>false</LinksUpToDate>
  <CharactersWithSpaces>2231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2026-06-11T00:28:00Z</dcterms:created>
  <dc:creator>Apache POI</dc:creator>
  <cp:lastModifiedBy>尘华</cp:lastModifiedBy>
  <dcterms:modified xsi:type="dcterms:W3CDTF">2026-06-11T02:52:37Z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{"Label":"1","ContentProducer":"001191110102MACQD9K64010000","ProduceID":"7649928127095147450","ReservedCode1":"","ContentPropagator":"","PropagateID":"","ReservedCode2":""}</vt:lpwstr>
  </property>
  <property fmtid="{D5CDD505-2E9C-101B-9397-08002B2CF9AE}" pid="3" name="KSOTemplateDocerSaveRecord">
    <vt:lpwstr>eyJoZGlkIjoiNzU2OWQwMWJiOTViZjlhYWJlOWMyODQyZjYxZjZkMDAiLCJ1c2VySWQiOiIxMDA5NzAzMzg0In0=</vt:lpwstr>
  </property>
  <property fmtid="{D5CDD505-2E9C-101B-9397-08002B2CF9AE}" pid="4" name="KSOProductBuildVer">
    <vt:lpwstr>2052-12.1.0.26895</vt:lpwstr>
  </property>
  <property fmtid="{D5CDD505-2E9C-101B-9397-08002B2CF9AE}" pid="5" name="ICV">
    <vt:lpwstr>C7C5B6FBEBE04EF49C93A5F71EF6DFE5_13</vt:lpwstr>
  </property>
</Properties>
</file>